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34F81" w14:textId="0CD37246" w:rsidR="00870AE6" w:rsidRPr="00760530" w:rsidRDefault="00870AE6" w:rsidP="00870AE6">
      <w:pPr>
        <w:pStyle w:val="3GPPHeader"/>
        <w:spacing w:after="60"/>
        <w:rPr>
          <w:sz w:val="32"/>
          <w:szCs w:val="32"/>
          <w:highlight w:val="yellow"/>
        </w:rPr>
      </w:pPr>
      <w:r w:rsidRPr="00760530">
        <w:t>3GPP TSG-RAN WG1 Meeting #</w:t>
      </w:r>
      <w:r>
        <w:t>99</w:t>
      </w:r>
      <w:r w:rsidRPr="00760530">
        <w:tab/>
      </w:r>
      <w:proofErr w:type="spellStart"/>
      <w:r w:rsidRPr="00C820A8">
        <w:rPr>
          <w:sz w:val="32"/>
          <w:szCs w:val="32"/>
        </w:rPr>
        <w:t>Tdoc</w:t>
      </w:r>
      <w:proofErr w:type="spellEnd"/>
      <w:r w:rsidRPr="00C820A8">
        <w:rPr>
          <w:sz w:val="32"/>
          <w:szCs w:val="32"/>
        </w:rPr>
        <w:t xml:space="preserve"> R1</w:t>
      </w:r>
      <w:r w:rsidR="00C820A8" w:rsidRPr="00C820A8">
        <w:rPr>
          <w:sz w:val="32"/>
          <w:szCs w:val="32"/>
        </w:rPr>
        <w:t>-1912781</w:t>
      </w:r>
    </w:p>
    <w:p w14:paraId="6B1DE8E5" w14:textId="5AC2B74D" w:rsidR="00870AE6" w:rsidRPr="00EE6E84" w:rsidRDefault="00870AE6" w:rsidP="00870AE6">
      <w:pPr>
        <w:pStyle w:val="3GPPHeader"/>
        <w:rPr>
          <w:lang w:val="sv-SE"/>
        </w:rPr>
      </w:pPr>
      <w:r w:rsidRPr="00870AE6">
        <w:rPr>
          <w:lang w:val="sv-SE"/>
        </w:rPr>
        <w:t xml:space="preserve">Reno, USA, November </w:t>
      </w:r>
      <w:r w:rsidR="00AF1CF8" w:rsidRPr="00870AE6">
        <w:rPr>
          <w:lang w:val="sv-SE"/>
        </w:rPr>
        <w:t>18–22</w:t>
      </w:r>
      <w:r w:rsidRPr="00EE6E84">
        <w:rPr>
          <w:lang w:val="sv-SE"/>
        </w:rPr>
        <w:t>, 2019</w:t>
      </w:r>
    </w:p>
    <w:p w14:paraId="3C6869D1" w14:textId="1E916BF7" w:rsidR="00E90E49" w:rsidRPr="00EE6E84" w:rsidRDefault="00E90E49" w:rsidP="00832F73">
      <w:pPr>
        <w:pStyle w:val="3GPPHeader"/>
        <w:spacing w:after="0"/>
        <w:rPr>
          <w:sz w:val="22"/>
          <w:lang w:val="sv-SE"/>
        </w:rPr>
      </w:pPr>
      <w:r w:rsidRPr="00EE6E84">
        <w:rPr>
          <w:sz w:val="22"/>
          <w:lang w:val="sv-SE"/>
        </w:rPr>
        <w:t>Agenda Item:</w:t>
      </w:r>
      <w:r w:rsidRPr="00EE6E84">
        <w:rPr>
          <w:sz w:val="22"/>
          <w:lang w:val="sv-SE"/>
        </w:rPr>
        <w:tab/>
      </w:r>
      <w:r w:rsidR="002C6C20" w:rsidRPr="00C820A8">
        <w:rPr>
          <w:sz w:val="22"/>
          <w:lang w:val="sv-SE"/>
        </w:rPr>
        <w:t>7.</w:t>
      </w:r>
      <w:r w:rsidR="002F2045" w:rsidRPr="00C820A8">
        <w:rPr>
          <w:sz w:val="22"/>
          <w:lang w:val="sv-SE"/>
        </w:rPr>
        <w:t>2</w:t>
      </w:r>
      <w:r w:rsidR="002C6C20" w:rsidRPr="00C820A8">
        <w:rPr>
          <w:sz w:val="22"/>
          <w:lang w:val="sv-SE"/>
        </w:rPr>
        <w:t>.</w:t>
      </w:r>
      <w:r w:rsidR="002F2045" w:rsidRPr="00C820A8">
        <w:rPr>
          <w:sz w:val="22"/>
          <w:lang w:val="sv-SE"/>
        </w:rPr>
        <w:t>9</w:t>
      </w:r>
      <w:r w:rsidR="002C6C20" w:rsidRPr="00C820A8">
        <w:rPr>
          <w:sz w:val="22"/>
          <w:lang w:val="sv-SE"/>
        </w:rPr>
        <w:t>.</w:t>
      </w:r>
      <w:r w:rsidR="00C820A8" w:rsidRPr="00C820A8">
        <w:rPr>
          <w:sz w:val="22"/>
          <w:lang w:val="sv-SE"/>
        </w:rPr>
        <w:t>1</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68DE83A8" w:rsidR="00E90E49" w:rsidRPr="00760530" w:rsidRDefault="003D3C45" w:rsidP="00832F73">
      <w:pPr>
        <w:pStyle w:val="3GPPHeader"/>
        <w:spacing w:after="0"/>
        <w:rPr>
          <w:sz w:val="22"/>
        </w:rPr>
      </w:pPr>
      <w:r w:rsidRPr="00760530">
        <w:rPr>
          <w:sz w:val="22"/>
        </w:rPr>
        <w:t>Title:</w:t>
      </w:r>
      <w:r w:rsidR="00E90E49" w:rsidRPr="00760530">
        <w:rPr>
          <w:sz w:val="22"/>
        </w:rPr>
        <w:tab/>
      </w:r>
      <w:r w:rsidR="006A4AE8">
        <w:rPr>
          <w:sz w:val="22"/>
        </w:rPr>
        <w:t>Procedure for Cross-Slot Scheduling Enhancement</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419A214F" w14:textId="02C4204D" w:rsidR="00381CEC" w:rsidRPr="00A6770A" w:rsidRDefault="00CF4E1F" w:rsidP="000916B4">
      <w:pPr>
        <w:pStyle w:val="BodyText"/>
        <w:rPr>
          <w:rFonts w:asciiTheme="minorHAnsi" w:hAnsiTheme="minorHAnsi" w:cstheme="minorHAnsi"/>
          <w:sz w:val="20"/>
        </w:rPr>
      </w:pPr>
      <w:r w:rsidRPr="00CF4E1F">
        <w:rPr>
          <w:rFonts w:asciiTheme="minorHAnsi" w:hAnsiTheme="minorHAnsi" w:cstheme="minorHAnsi"/>
          <w:sz w:val="20"/>
        </w:rPr>
        <w:t xml:space="preserve">In this contribution paper, the remaining issues on the cross-slot scheduling enhancement for power saving such as </w:t>
      </w:r>
      <w:r>
        <w:rPr>
          <w:rFonts w:asciiTheme="minorHAnsi" w:hAnsiTheme="minorHAnsi" w:cstheme="minorHAnsi"/>
          <w:sz w:val="20"/>
        </w:rPr>
        <w:t>details on the</w:t>
      </w:r>
      <w:r w:rsidRPr="00CF4E1F">
        <w:rPr>
          <w:rFonts w:asciiTheme="minorHAnsi" w:hAnsiTheme="minorHAnsi" w:cstheme="minorHAnsi"/>
          <w:sz w:val="20"/>
        </w:rPr>
        <w:t xml:space="preserve"> minimum slot offset, cross-slot adaptation procedures, application delay, </w:t>
      </w:r>
      <w:r>
        <w:rPr>
          <w:rFonts w:asciiTheme="minorHAnsi" w:hAnsiTheme="minorHAnsi" w:cstheme="minorHAnsi"/>
          <w:sz w:val="20"/>
        </w:rPr>
        <w:t xml:space="preserve">implementation during </w:t>
      </w:r>
      <w:r w:rsidRPr="00CF4E1F">
        <w:rPr>
          <w:rFonts w:asciiTheme="minorHAnsi" w:hAnsiTheme="minorHAnsi" w:cstheme="minorHAnsi"/>
          <w:sz w:val="20"/>
        </w:rPr>
        <w:t xml:space="preserve">BWP-switch, UE assistance information, etc. </w:t>
      </w:r>
      <w:r>
        <w:rPr>
          <w:rFonts w:asciiTheme="minorHAnsi" w:hAnsiTheme="minorHAnsi" w:cstheme="minorHAnsi"/>
          <w:sz w:val="20"/>
        </w:rPr>
        <w:t>will be</w:t>
      </w:r>
      <w:r w:rsidRPr="00CF4E1F">
        <w:rPr>
          <w:rFonts w:asciiTheme="minorHAnsi" w:hAnsiTheme="minorHAnsi" w:cstheme="minorHAnsi"/>
          <w:sz w:val="20"/>
        </w:rPr>
        <w:t xml:space="preserve"> discussed.</w:t>
      </w:r>
    </w:p>
    <w:p w14:paraId="21D2E01E" w14:textId="466310F5" w:rsidR="000916B4" w:rsidRDefault="000916B4" w:rsidP="000916B4">
      <w:pPr>
        <w:pStyle w:val="Heading1"/>
        <w:rPr>
          <w:lang w:val="en-US"/>
        </w:rPr>
      </w:pPr>
      <w:bookmarkStart w:id="0" w:name="_Ref178064866"/>
      <w:r w:rsidRPr="005F577B">
        <w:rPr>
          <w:lang w:val="en-US"/>
        </w:rPr>
        <w:t>2</w:t>
      </w:r>
      <w:r w:rsidRPr="005F577B">
        <w:rPr>
          <w:lang w:val="en-US"/>
        </w:rPr>
        <w:tab/>
      </w:r>
      <w:bookmarkEnd w:id="0"/>
      <w:r w:rsidR="005A3F38">
        <w:rPr>
          <w:lang w:val="en-US"/>
        </w:rPr>
        <w:t>Discussion</w:t>
      </w:r>
    </w:p>
    <w:p w14:paraId="7BF7AF76" w14:textId="3C42F03D" w:rsidR="00474461" w:rsidRDefault="00FC2803" w:rsidP="00C2543A">
      <w:pPr>
        <w:pStyle w:val="Heading2"/>
        <w:spacing w:before="0"/>
        <w:rPr>
          <w:sz w:val="30"/>
          <w:szCs w:val="30"/>
          <w:lang w:val="en-US"/>
        </w:rPr>
      </w:pPr>
      <w:r w:rsidRPr="00FC2803">
        <w:rPr>
          <w:sz w:val="30"/>
          <w:szCs w:val="30"/>
          <w:lang w:val="en-US"/>
        </w:rPr>
        <w:t>2.1</w:t>
      </w:r>
      <w:r w:rsidR="00463D18">
        <w:rPr>
          <w:sz w:val="30"/>
          <w:szCs w:val="30"/>
          <w:lang w:val="en-US"/>
        </w:rPr>
        <w:t>.</w:t>
      </w:r>
      <w:r w:rsidRPr="00FC2803">
        <w:rPr>
          <w:sz w:val="30"/>
          <w:szCs w:val="30"/>
          <w:lang w:val="en-US"/>
        </w:rPr>
        <w:tab/>
        <w:t>Minimum s</w:t>
      </w:r>
      <w:r w:rsidR="00F64B50">
        <w:rPr>
          <w:sz w:val="30"/>
          <w:szCs w:val="30"/>
          <w:lang w:val="en-US"/>
        </w:rPr>
        <w:t>cheduling</w:t>
      </w:r>
      <w:r w:rsidRPr="00FC2803">
        <w:rPr>
          <w:sz w:val="30"/>
          <w:szCs w:val="30"/>
          <w:lang w:val="en-US"/>
        </w:rPr>
        <w:t xml:space="preserve"> offset</w:t>
      </w:r>
    </w:p>
    <w:p w14:paraId="7433C9E0" w14:textId="2D9964FA" w:rsidR="00FC5CF1" w:rsidRPr="00FC5CF1" w:rsidRDefault="00FC5CF1" w:rsidP="00FC5CF1">
      <w:pPr>
        <w:pStyle w:val="Heading3"/>
        <w:spacing w:before="0"/>
        <w:rPr>
          <w:sz w:val="24"/>
          <w:szCs w:val="30"/>
          <w:lang w:val="en-US"/>
        </w:rPr>
      </w:pPr>
      <w:r w:rsidRPr="00FC5CF1">
        <w:rPr>
          <w:sz w:val="24"/>
          <w:szCs w:val="30"/>
          <w:lang w:val="en-US"/>
        </w:rPr>
        <w:t>2.1.1</w:t>
      </w:r>
      <w:r w:rsidR="00463D18">
        <w:rPr>
          <w:sz w:val="24"/>
          <w:szCs w:val="30"/>
          <w:lang w:val="en-US"/>
        </w:rPr>
        <w:t>.</w:t>
      </w:r>
      <w:r w:rsidRPr="00FC5CF1">
        <w:rPr>
          <w:sz w:val="24"/>
          <w:szCs w:val="30"/>
          <w:lang w:val="en-US"/>
        </w:rPr>
        <w:tab/>
      </w:r>
      <w:r w:rsidR="009D148B">
        <w:rPr>
          <w:sz w:val="24"/>
          <w:szCs w:val="30"/>
          <w:lang w:val="en-US"/>
        </w:rPr>
        <w:t>The value range of minK0 (and minK2)</w:t>
      </w:r>
    </w:p>
    <w:p w14:paraId="5E03708B" w14:textId="119546DB" w:rsidR="00E877F7" w:rsidRDefault="007F1DE5" w:rsidP="00C2543A">
      <w:pPr>
        <w:jc w:val="both"/>
        <w:rPr>
          <w:rFonts w:cstheme="minorHAnsi"/>
          <w:sz w:val="20"/>
          <w:lang w:eastAsia="ja-JP"/>
        </w:rPr>
      </w:pPr>
      <w:r>
        <w:rPr>
          <w:rFonts w:cstheme="minorHAnsi"/>
          <w:sz w:val="20"/>
          <w:lang w:eastAsia="ja-JP"/>
        </w:rPr>
        <w:t xml:space="preserve">In RAN1 #98b, it is indicated that the value of minK0 (and minK2) will be in the range of 0 to </w:t>
      </w:r>
      <w:r w:rsidR="00663B67">
        <w:rPr>
          <w:rFonts w:cstheme="minorHAnsi"/>
          <w:sz w:val="20"/>
          <w:lang w:eastAsia="ja-JP"/>
        </w:rPr>
        <w:t>[</w:t>
      </w:r>
      <w:r>
        <w:rPr>
          <w:rFonts w:cstheme="minorHAnsi"/>
          <w:sz w:val="20"/>
          <w:lang w:eastAsia="ja-JP"/>
        </w:rPr>
        <w:t>16</w:t>
      </w:r>
      <w:r w:rsidR="00663B67">
        <w:rPr>
          <w:rFonts w:cstheme="minorHAnsi"/>
          <w:sz w:val="20"/>
          <w:lang w:eastAsia="ja-JP"/>
        </w:rPr>
        <w:t>]</w:t>
      </w:r>
      <w:r>
        <w:rPr>
          <w:rFonts w:cstheme="minorHAnsi"/>
          <w:sz w:val="20"/>
          <w:lang w:eastAsia="ja-JP"/>
        </w:rPr>
        <w:t>.</w:t>
      </w:r>
      <w:r w:rsidR="00663B67">
        <w:rPr>
          <w:rFonts w:cstheme="minorHAnsi"/>
          <w:sz w:val="20"/>
          <w:lang w:eastAsia="ja-JP"/>
        </w:rPr>
        <w:t xml:space="preserve"> This range of value, however, needs to be used carefully. </w:t>
      </w:r>
      <w:r w:rsidR="00E877F7">
        <w:rPr>
          <w:rFonts w:cstheme="minorHAnsi"/>
          <w:sz w:val="20"/>
          <w:lang w:eastAsia="ja-JP"/>
        </w:rPr>
        <w:t>First, as shown in the evaluation during the study item (SI), most power</w:t>
      </w:r>
      <w:r w:rsidR="00295E50">
        <w:rPr>
          <w:rFonts w:cstheme="minorHAnsi"/>
          <w:sz w:val="20"/>
          <w:lang w:eastAsia="ja-JP"/>
        </w:rPr>
        <w:t>-</w:t>
      </w:r>
      <w:r w:rsidR="00E877F7">
        <w:rPr>
          <w:rFonts w:cstheme="minorHAnsi"/>
          <w:sz w:val="20"/>
          <w:lang w:eastAsia="ja-JP"/>
        </w:rPr>
        <w:t xml:space="preserve">saving gain with cross-slot scheduling is achieved with the smallest min K0 offset value (minK0), i.e. minK0 = 1. The smaller minK0 value also </w:t>
      </w:r>
      <w:r w:rsidR="00295E50">
        <w:rPr>
          <w:rFonts w:cstheme="minorHAnsi"/>
          <w:sz w:val="20"/>
          <w:lang w:eastAsia="ja-JP"/>
        </w:rPr>
        <w:t>gives</w:t>
      </w:r>
      <w:r w:rsidR="00E877F7">
        <w:rPr>
          <w:rFonts w:cstheme="minorHAnsi"/>
          <w:sz w:val="20"/>
          <w:lang w:eastAsia="ja-JP"/>
        </w:rPr>
        <w:t xml:space="preserve"> smaller additional delay. Thus, it will be beneficial I the minK0 value can be kept low.</w:t>
      </w:r>
    </w:p>
    <w:p w14:paraId="1E554F5D" w14:textId="513034F3" w:rsidR="00E877F7" w:rsidRDefault="00E877F7" w:rsidP="00C2543A">
      <w:pPr>
        <w:jc w:val="both"/>
        <w:rPr>
          <w:rFonts w:cstheme="minorHAnsi"/>
          <w:sz w:val="20"/>
          <w:lang w:eastAsia="ja-JP"/>
        </w:rPr>
      </w:pPr>
      <w:r>
        <w:rPr>
          <w:rFonts w:cstheme="minorHAnsi"/>
          <w:sz w:val="20"/>
          <w:lang w:eastAsia="ja-JP"/>
        </w:rPr>
        <w:t>A consideration, however, can be given for the case of cross-carrier scheduling using different numerologies. In particular, for the case of the scheduling CC</w:t>
      </w:r>
      <w:r w:rsidR="00D83A5E">
        <w:rPr>
          <w:rFonts w:cstheme="minorHAnsi"/>
          <w:sz w:val="20"/>
          <w:lang w:eastAsia="ja-JP"/>
        </w:rPr>
        <w:t>’s</w:t>
      </w:r>
      <w:r>
        <w:rPr>
          <w:rFonts w:cstheme="minorHAnsi"/>
          <w:sz w:val="20"/>
          <w:lang w:eastAsia="ja-JP"/>
        </w:rPr>
        <w:t xml:space="preserve"> SCS is smaller than the scheduled CC</w:t>
      </w:r>
      <w:r w:rsidR="00D83A5E">
        <w:rPr>
          <w:rFonts w:cstheme="minorHAnsi"/>
          <w:sz w:val="20"/>
          <w:lang w:eastAsia="ja-JP"/>
        </w:rPr>
        <w:t>’s</w:t>
      </w:r>
      <w:r>
        <w:rPr>
          <w:rFonts w:cstheme="minorHAnsi"/>
          <w:sz w:val="20"/>
          <w:lang w:eastAsia="ja-JP"/>
        </w:rPr>
        <w:t xml:space="preserve"> SCS. In this case, the UE needs to receive the PDCCH symbols in a relatively long duration. Adding the PDCCH decoding delay, it will be possible that the scheduled CC already pass over several slots, and thus a larger minK0 limit is required.</w:t>
      </w:r>
    </w:p>
    <w:p w14:paraId="3B62DB5E" w14:textId="39FB0DC0" w:rsidR="003F56FB" w:rsidRDefault="0085059E" w:rsidP="00C2543A">
      <w:pPr>
        <w:jc w:val="both"/>
        <w:rPr>
          <w:rFonts w:cstheme="minorHAnsi"/>
          <w:sz w:val="20"/>
          <w:lang w:eastAsia="ja-JP"/>
        </w:rPr>
      </w:pPr>
      <w:r>
        <w:rPr>
          <w:rFonts w:cstheme="minorHAnsi"/>
          <w:sz w:val="20"/>
          <w:lang w:eastAsia="ja-JP"/>
        </w:rPr>
        <w:t>Considering this, a smaller range on the minK0 value can be considered for the case of same-</w:t>
      </w:r>
      <w:r w:rsidR="00A04762">
        <w:rPr>
          <w:rFonts w:cstheme="minorHAnsi"/>
          <w:sz w:val="20"/>
          <w:lang w:eastAsia="ja-JP"/>
        </w:rPr>
        <w:t>numerology scheduling case.</w:t>
      </w:r>
      <w:r w:rsidR="000F334B">
        <w:rPr>
          <w:rFonts w:cstheme="minorHAnsi"/>
          <w:sz w:val="20"/>
          <w:lang w:eastAsia="ja-JP"/>
        </w:rPr>
        <w:t xml:space="preserve"> For example, a range between 0 to 4 can be</w:t>
      </w:r>
      <w:r w:rsidR="00845373">
        <w:rPr>
          <w:rFonts w:cstheme="minorHAnsi"/>
          <w:sz w:val="20"/>
          <w:lang w:eastAsia="ja-JP"/>
        </w:rPr>
        <w:t xml:space="preserve"> </w:t>
      </w:r>
      <w:r w:rsidR="00974D44">
        <w:rPr>
          <w:rFonts w:cstheme="minorHAnsi"/>
          <w:sz w:val="20"/>
          <w:lang w:eastAsia="ja-JP"/>
        </w:rPr>
        <w:t>deemed as sufficient.</w:t>
      </w:r>
      <w:r w:rsidR="000A2AD2">
        <w:rPr>
          <w:rFonts w:cstheme="minorHAnsi"/>
          <w:sz w:val="20"/>
          <w:lang w:eastAsia="ja-JP"/>
        </w:rPr>
        <w:t xml:space="preserve"> Note that this limit might also</w:t>
      </w:r>
      <w:r w:rsidR="00D50E11">
        <w:rPr>
          <w:rFonts w:cstheme="minorHAnsi"/>
          <w:sz w:val="20"/>
          <w:lang w:eastAsia="ja-JP"/>
        </w:rPr>
        <w:t xml:space="preserve"> be specified even further. For example, </w:t>
      </w:r>
      <w:r w:rsidR="00E10AE8">
        <w:rPr>
          <w:rFonts w:cstheme="minorHAnsi"/>
          <w:sz w:val="20"/>
          <w:lang w:eastAsia="ja-JP"/>
        </w:rPr>
        <w:t xml:space="preserve">for the case of </w:t>
      </w:r>
      <w:r w:rsidR="00A00DFD">
        <w:rPr>
          <w:rFonts w:cstheme="minorHAnsi"/>
          <w:sz w:val="20"/>
          <w:lang w:eastAsia="ja-JP"/>
        </w:rPr>
        <w:t>SCS of 15</w:t>
      </w:r>
      <w:r w:rsidR="004D24AC">
        <w:rPr>
          <w:rFonts w:cstheme="minorHAnsi"/>
          <w:sz w:val="20"/>
          <w:lang w:eastAsia="ja-JP"/>
        </w:rPr>
        <w:t xml:space="preserve"> and 30kHz, </w:t>
      </w:r>
      <w:r w:rsidR="006627DF">
        <w:rPr>
          <w:rFonts w:cstheme="minorHAnsi"/>
          <w:sz w:val="20"/>
          <w:lang w:eastAsia="ja-JP"/>
        </w:rPr>
        <w:t xml:space="preserve">a </w:t>
      </w:r>
      <w:r w:rsidR="00076B9F">
        <w:rPr>
          <w:rFonts w:cstheme="minorHAnsi"/>
          <w:sz w:val="20"/>
          <w:lang w:eastAsia="ja-JP"/>
        </w:rPr>
        <w:t xml:space="preserve">maximum value of minK0 of 2 can be used while </w:t>
      </w:r>
      <w:r w:rsidR="00393525">
        <w:rPr>
          <w:rFonts w:cstheme="minorHAnsi"/>
          <w:sz w:val="20"/>
          <w:lang w:eastAsia="ja-JP"/>
        </w:rPr>
        <w:t xml:space="preserve">a maximum value of minK0 of 4 can be used by </w:t>
      </w:r>
      <w:r w:rsidR="00A35BDE">
        <w:rPr>
          <w:rFonts w:cstheme="minorHAnsi"/>
          <w:sz w:val="20"/>
          <w:lang w:eastAsia="ja-JP"/>
        </w:rPr>
        <w:t>SCS of 60 and 120kHz.</w:t>
      </w:r>
      <w:r w:rsidR="00FB49D7">
        <w:rPr>
          <w:rFonts w:cstheme="minorHAnsi"/>
          <w:sz w:val="20"/>
          <w:lang w:eastAsia="ja-JP"/>
        </w:rPr>
        <w:t xml:space="preserve"> The same can be applied for the case of cross-carrier scheduling with m</w:t>
      </w:r>
      <w:r w:rsidR="00E013DF">
        <w:rPr>
          <w:rFonts w:cstheme="minorHAnsi"/>
          <w:sz w:val="20"/>
          <w:lang w:eastAsia="ja-JP"/>
        </w:rPr>
        <w:t xml:space="preserve">ixed numerology. For example, for SCell having </w:t>
      </w:r>
      <w:r w:rsidR="00637607">
        <w:rPr>
          <w:rFonts w:cstheme="minorHAnsi"/>
          <w:sz w:val="20"/>
          <w:lang w:eastAsia="ja-JP"/>
        </w:rPr>
        <w:t xml:space="preserve">SCS of </w:t>
      </w:r>
      <w:r w:rsidR="00AC007B">
        <w:rPr>
          <w:rFonts w:cstheme="minorHAnsi"/>
          <w:sz w:val="20"/>
          <w:lang w:eastAsia="ja-JP"/>
        </w:rPr>
        <w:t xml:space="preserve">15 and 30kHz a maximum minK0 value of 8 can be used while </w:t>
      </w:r>
      <w:r w:rsidR="008E4407">
        <w:rPr>
          <w:rFonts w:cstheme="minorHAnsi"/>
          <w:sz w:val="20"/>
          <w:lang w:eastAsia="ja-JP"/>
        </w:rPr>
        <w:t>an SCell having SCS of 60 and 120kHz can use a maximum minK0 value of 16.</w:t>
      </w:r>
    </w:p>
    <w:p w14:paraId="2F3C506E" w14:textId="4A1C3957" w:rsidR="0024013F" w:rsidRDefault="00EE199B" w:rsidP="0024013F">
      <w:pPr>
        <w:pStyle w:val="Proposal"/>
        <w:numPr>
          <w:ilvl w:val="0"/>
          <w:numId w:val="3"/>
        </w:numPr>
        <w:tabs>
          <w:tab w:val="clear" w:pos="1304"/>
        </w:tabs>
        <w:ind w:left="1701" w:hanging="1701"/>
        <w:rPr>
          <w:rFonts w:cs="Arial"/>
          <w:sz w:val="20"/>
        </w:rPr>
      </w:pPr>
      <w:bookmarkStart w:id="1" w:name="_Toc24137492"/>
      <w:r>
        <w:rPr>
          <w:rFonts w:cs="Arial"/>
          <w:sz w:val="20"/>
        </w:rPr>
        <w:t>For same-</w:t>
      </w:r>
      <w:r w:rsidR="00AA0A74">
        <w:rPr>
          <w:rFonts w:cs="Arial"/>
          <w:sz w:val="20"/>
        </w:rPr>
        <w:t>numerology</w:t>
      </w:r>
      <w:r>
        <w:rPr>
          <w:rFonts w:cs="Arial"/>
          <w:sz w:val="20"/>
        </w:rPr>
        <w:t xml:space="preserve"> </w:t>
      </w:r>
      <w:r w:rsidR="00AA0A74">
        <w:rPr>
          <w:rFonts w:cs="Arial"/>
          <w:sz w:val="20"/>
        </w:rPr>
        <w:t>scheduling case, limit the minK0 value range between 0 to 4</w:t>
      </w:r>
      <w:r w:rsidR="0024013F" w:rsidRPr="00B70A53">
        <w:rPr>
          <w:rFonts w:cs="Arial"/>
          <w:sz w:val="20"/>
        </w:rPr>
        <w:t>.</w:t>
      </w:r>
      <w:r w:rsidR="00AA0A74">
        <w:rPr>
          <w:rFonts w:cs="Arial"/>
          <w:sz w:val="20"/>
        </w:rPr>
        <w:t xml:space="preserve"> </w:t>
      </w:r>
      <w:r w:rsidR="006109EE">
        <w:rPr>
          <w:rFonts w:cs="Arial"/>
          <w:sz w:val="20"/>
        </w:rPr>
        <w:t>A larger</w:t>
      </w:r>
      <w:r w:rsidR="0026213A">
        <w:rPr>
          <w:rFonts w:cs="Arial"/>
          <w:sz w:val="20"/>
        </w:rPr>
        <w:t xml:space="preserve"> limit, e.g. 16, ca</w:t>
      </w:r>
      <w:r w:rsidR="001B1E8E">
        <w:rPr>
          <w:rFonts w:cs="Arial"/>
          <w:sz w:val="20"/>
        </w:rPr>
        <w:t xml:space="preserve">n be used for cross-carrier scheduling with mixed numerologies. </w:t>
      </w:r>
      <w:r w:rsidR="00AA0A74">
        <w:rPr>
          <w:rFonts w:cs="Arial"/>
          <w:sz w:val="20"/>
        </w:rPr>
        <w:t>Additional limitation based on the SCS can be considered.</w:t>
      </w:r>
      <w:bookmarkEnd w:id="1"/>
    </w:p>
    <w:p w14:paraId="13AE42CD" w14:textId="77777777" w:rsidR="000916B4" w:rsidRPr="004C345E" w:rsidRDefault="000916B4" w:rsidP="00C2543A">
      <w:pPr>
        <w:jc w:val="both"/>
        <w:rPr>
          <w:sz w:val="20"/>
          <w:lang w:eastAsia="ja-JP"/>
        </w:rPr>
      </w:pPr>
    </w:p>
    <w:p w14:paraId="688F99A9" w14:textId="13FDE5F9" w:rsidR="00046AAE" w:rsidRPr="00FC5CF1" w:rsidRDefault="00046AAE" w:rsidP="00FC5CF1">
      <w:pPr>
        <w:pStyle w:val="Heading3"/>
        <w:rPr>
          <w:sz w:val="24"/>
        </w:rPr>
      </w:pPr>
      <w:r w:rsidRPr="00FC5CF1">
        <w:rPr>
          <w:sz w:val="24"/>
        </w:rPr>
        <w:t>2.</w:t>
      </w:r>
      <w:r w:rsidR="00FC5CF1">
        <w:rPr>
          <w:sz w:val="24"/>
        </w:rPr>
        <w:t>1.</w:t>
      </w:r>
      <w:r w:rsidRPr="00FC5CF1">
        <w:rPr>
          <w:sz w:val="24"/>
        </w:rPr>
        <w:t>2</w:t>
      </w:r>
      <w:r w:rsidR="00463D18">
        <w:rPr>
          <w:sz w:val="24"/>
        </w:rPr>
        <w:t>.</w:t>
      </w:r>
      <w:r w:rsidRPr="00FC5CF1">
        <w:rPr>
          <w:sz w:val="24"/>
        </w:rPr>
        <w:tab/>
        <w:t>Minimum slot offset for aperiodic SRS</w:t>
      </w:r>
    </w:p>
    <w:p w14:paraId="58C90718" w14:textId="7554C653" w:rsidR="00046AAE" w:rsidRDefault="00434213" w:rsidP="00DF05A0">
      <w:pPr>
        <w:jc w:val="both"/>
        <w:rPr>
          <w:sz w:val="20"/>
          <w:lang w:val="en-GB" w:eastAsia="ja-JP"/>
        </w:rPr>
      </w:pPr>
      <w:r w:rsidRPr="00DF05A0">
        <w:rPr>
          <w:sz w:val="20"/>
          <w:lang w:val="en-GB" w:eastAsia="ja-JP"/>
        </w:rPr>
        <w:t xml:space="preserve">To gain a power-saving advantage </w:t>
      </w:r>
      <w:r w:rsidR="007840DA">
        <w:rPr>
          <w:sz w:val="20"/>
          <w:lang w:val="en-GB" w:eastAsia="ja-JP"/>
        </w:rPr>
        <w:t>of</w:t>
      </w:r>
      <w:r w:rsidRPr="00DF05A0">
        <w:rPr>
          <w:sz w:val="20"/>
          <w:lang w:val="en-GB" w:eastAsia="ja-JP"/>
        </w:rPr>
        <w:t xml:space="preserve"> the Cross-slot (CS)-feature, </w:t>
      </w:r>
      <w:r w:rsidR="007840DA">
        <w:rPr>
          <w:sz w:val="20"/>
          <w:lang w:val="en-GB" w:eastAsia="ja-JP"/>
        </w:rPr>
        <w:t>the slot-offset of the uplink part should also be considered. Similar to</w:t>
      </w:r>
      <w:r w:rsidR="00495A29">
        <w:rPr>
          <w:sz w:val="20"/>
          <w:lang w:val="en-GB" w:eastAsia="ja-JP"/>
        </w:rPr>
        <w:t xml:space="preserve"> minimum slot offset for the downlink part (which is represented by minK0 value)</w:t>
      </w:r>
      <w:r w:rsidR="007840DA">
        <w:rPr>
          <w:sz w:val="20"/>
          <w:lang w:val="en-GB" w:eastAsia="ja-JP"/>
        </w:rPr>
        <w:t>, this value should be set to be as small as possible as long it enables the UE to be in CS mode (i.e. turn off RF part for micro-sleep,</w:t>
      </w:r>
      <w:r w:rsidR="00B04F96">
        <w:rPr>
          <w:sz w:val="20"/>
          <w:lang w:val="en-GB" w:eastAsia="ja-JP"/>
        </w:rPr>
        <w:t xml:space="preserve"> </w:t>
      </w:r>
      <w:r w:rsidR="00A01A83">
        <w:rPr>
          <w:sz w:val="20"/>
          <w:lang w:val="en-GB" w:eastAsia="ja-JP"/>
        </w:rPr>
        <w:t>etc.</w:t>
      </w:r>
      <w:r w:rsidR="007840DA">
        <w:rPr>
          <w:sz w:val="20"/>
          <w:lang w:val="en-GB" w:eastAsia="ja-JP"/>
        </w:rPr>
        <w:t>).</w:t>
      </w:r>
      <w:r w:rsidR="001930BC">
        <w:rPr>
          <w:sz w:val="20"/>
          <w:lang w:val="en-GB" w:eastAsia="ja-JP"/>
        </w:rPr>
        <w:t xml:space="preserve"> While the minimum slot offset for PUSCH has been agreed</w:t>
      </w:r>
      <w:r w:rsidR="005C660E">
        <w:rPr>
          <w:sz w:val="20"/>
          <w:lang w:val="en-GB" w:eastAsia="ja-JP"/>
        </w:rPr>
        <w:t xml:space="preserve"> (represented by minK2 value)</w:t>
      </w:r>
      <w:r w:rsidR="001930BC">
        <w:rPr>
          <w:sz w:val="20"/>
          <w:lang w:val="en-GB" w:eastAsia="ja-JP"/>
        </w:rPr>
        <w:t>, it also need</w:t>
      </w:r>
      <w:r w:rsidR="00322A72">
        <w:rPr>
          <w:sz w:val="20"/>
          <w:lang w:val="en-GB" w:eastAsia="ja-JP"/>
        </w:rPr>
        <w:t>s</w:t>
      </w:r>
      <w:r w:rsidR="001930BC">
        <w:rPr>
          <w:sz w:val="20"/>
          <w:lang w:val="en-GB" w:eastAsia="ja-JP"/>
        </w:rPr>
        <w:t xml:space="preserve"> to be kept in mind that the UL transmission </w:t>
      </w:r>
      <w:r w:rsidR="00825B63">
        <w:rPr>
          <w:sz w:val="20"/>
          <w:lang w:val="en-GB" w:eastAsia="ja-JP"/>
        </w:rPr>
        <w:t xml:space="preserve">could also be in term of </w:t>
      </w:r>
      <w:r w:rsidR="00A76881">
        <w:rPr>
          <w:sz w:val="20"/>
          <w:lang w:val="en-GB" w:eastAsia="ja-JP"/>
        </w:rPr>
        <w:t xml:space="preserve">an </w:t>
      </w:r>
      <w:r w:rsidR="00825B63">
        <w:rPr>
          <w:sz w:val="20"/>
          <w:lang w:val="en-GB" w:eastAsia="ja-JP"/>
        </w:rPr>
        <w:t xml:space="preserve">aperiodic sounding reference signal (SRS). Thus, to ensure that the UE could gain advantage from the CS-feature, minimum slot offset also needs to be defined for the case of aperiodic SRS. </w:t>
      </w:r>
      <w:r w:rsidRPr="00DF05A0">
        <w:rPr>
          <w:sz w:val="20"/>
          <w:lang w:val="en-GB" w:eastAsia="ja-JP"/>
        </w:rPr>
        <w:t>As aperiodic SRS and PUSCH, in general, have a similar characteristic with PUSCH transmission, the same value of minK2 and aperiodic SRS slot-offset can be used.</w:t>
      </w:r>
    </w:p>
    <w:p w14:paraId="6260AC55" w14:textId="3266EA4C" w:rsidR="00B67AAE" w:rsidRPr="00625AE6" w:rsidRDefault="006857FE" w:rsidP="00DF05A0">
      <w:pPr>
        <w:pStyle w:val="Proposal"/>
        <w:numPr>
          <w:ilvl w:val="0"/>
          <w:numId w:val="3"/>
        </w:numPr>
        <w:tabs>
          <w:tab w:val="clear" w:pos="1304"/>
        </w:tabs>
        <w:ind w:left="1701" w:hanging="1701"/>
        <w:rPr>
          <w:rFonts w:cs="Arial"/>
          <w:sz w:val="20"/>
        </w:rPr>
      </w:pPr>
      <w:bookmarkStart w:id="2" w:name="_Toc24137493"/>
      <w:r>
        <w:rPr>
          <w:rFonts w:cs="Arial"/>
          <w:sz w:val="20"/>
        </w:rPr>
        <w:lastRenderedPageBreak/>
        <w:t xml:space="preserve">For each CS-enabled BWP, set the </w:t>
      </w:r>
      <w:r w:rsidR="00E353F2">
        <w:rPr>
          <w:rFonts w:cs="Arial"/>
          <w:sz w:val="20"/>
        </w:rPr>
        <w:t xml:space="preserve">minimum </w:t>
      </w:r>
      <w:r>
        <w:rPr>
          <w:rFonts w:cs="Arial"/>
          <w:sz w:val="20"/>
        </w:rPr>
        <w:t>slot offset for aperiodic SRS to be the same as the minK2 value.</w:t>
      </w:r>
      <w:bookmarkEnd w:id="2"/>
    </w:p>
    <w:p w14:paraId="082E6284" w14:textId="44038BD4" w:rsidR="00B67AAE" w:rsidRDefault="00B67AAE" w:rsidP="00DF05A0">
      <w:pPr>
        <w:jc w:val="both"/>
        <w:rPr>
          <w:sz w:val="20"/>
          <w:lang w:val="en-GB" w:eastAsia="ja-JP"/>
        </w:rPr>
      </w:pPr>
    </w:p>
    <w:p w14:paraId="55B63D01" w14:textId="405FC7C4" w:rsidR="005958E4" w:rsidRPr="00792C32" w:rsidRDefault="00FF3487" w:rsidP="00792C32">
      <w:pPr>
        <w:pStyle w:val="Heading2"/>
        <w:rPr>
          <w:sz w:val="28"/>
          <w:lang w:val="en-US"/>
        </w:rPr>
      </w:pPr>
      <w:r w:rsidRPr="008D73CF">
        <w:rPr>
          <w:sz w:val="28"/>
          <w:lang w:val="en-US"/>
        </w:rPr>
        <w:t>2.2</w:t>
      </w:r>
      <w:r w:rsidRPr="008D73CF">
        <w:rPr>
          <w:sz w:val="28"/>
          <w:lang w:val="en-US"/>
        </w:rPr>
        <w:tab/>
      </w:r>
      <w:r w:rsidR="00BC6BDD">
        <w:rPr>
          <w:sz w:val="28"/>
          <w:lang w:val="en-US"/>
        </w:rPr>
        <w:t>Minimum scheduling offset restriction</w:t>
      </w:r>
      <w:r w:rsidR="00EE477E">
        <w:rPr>
          <w:sz w:val="28"/>
          <w:lang w:val="en-US"/>
        </w:rPr>
        <w:t xml:space="preserve"> field</w:t>
      </w:r>
    </w:p>
    <w:p w14:paraId="2A5DE1AB" w14:textId="5F16AD4C" w:rsidR="005958E4" w:rsidRPr="00FC5CF1" w:rsidRDefault="005958E4" w:rsidP="005958E4">
      <w:pPr>
        <w:pStyle w:val="Heading3"/>
        <w:spacing w:before="0"/>
        <w:rPr>
          <w:sz w:val="24"/>
          <w:szCs w:val="30"/>
          <w:lang w:val="en-US"/>
        </w:rPr>
      </w:pPr>
      <w:r w:rsidRPr="00FC5CF1">
        <w:rPr>
          <w:sz w:val="24"/>
          <w:szCs w:val="30"/>
          <w:lang w:val="en-US"/>
        </w:rPr>
        <w:t>2.</w:t>
      </w:r>
      <w:r>
        <w:rPr>
          <w:sz w:val="24"/>
          <w:szCs w:val="30"/>
          <w:lang w:val="en-US"/>
        </w:rPr>
        <w:t>2</w:t>
      </w:r>
      <w:r w:rsidRPr="00FC5CF1">
        <w:rPr>
          <w:sz w:val="24"/>
          <w:szCs w:val="30"/>
          <w:lang w:val="en-US"/>
        </w:rPr>
        <w:t>.1</w:t>
      </w:r>
      <w:r>
        <w:rPr>
          <w:sz w:val="24"/>
          <w:szCs w:val="30"/>
          <w:lang w:val="en-US"/>
        </w:rPr>
        <w:t>.</w:t>
      </w:r>
      <w:r w:rsidRPr="00FC5CF1">
        <w:rPr>
          <w:sz w:val="24"/>
          <w:szCs w:val="30"/>
          <w:lang w:val="en-US"/>
        </w:rPr>
        <w:tab/>
      </w:r>
      <w:r w:rsidR="00725A61">
        <w:rPr>
          <w:sz w:val="24"/>
          <w:szCs w:val="30"/>
          <w:lang w:val="en-US"/>
        </w:rPr>
        <w:t>Present of CSIF bit-field</w:t>
      </w:r>
    </w:p>
    <w:p w14:paraId="51AE64CD" w14:textId="6014B881" w:rsidR="005958E4" w:rsidRPr="004C4369" w:rsidRDefault="00D6798C" w:rsidP="00693D49">
      <w:pPr>
        <w:spacing w:after="0"/>
        <w:jc w:val="both"/>
        <w:rPr>
          <w:rFonts w:cstheme="minorHAnsi"/>
          <w:sz w:val="20"/>
          <w:lang w:eastAsia="ja-JP"/>
        </w:rPr>
      </w:pPr>
      <w:r w:rsidRPr="004C4369">
        <w:rPr>
          <w:rFonts w:cstheme="minorHAnsi"/>
          <w:sz w:val="20"/>
          <w:lang w:eastAsia="ja-JP"/>
        </w:rPr>
        <w:t xml:space="preserve">According to the current agreements, switching between cross-slot (CS) and same-slot (SS) scheduling is supported by 1 new bit-field in the DCI (is called CSIF, i.e. cross-slot indication field, from this point onward). </w:t>
      </w:r>
      <w:r w:rsidR="00B325AC" w:rsidRPr="004C4369">
        <w:rPr>
          <w:rFonts w:cstheme="minorHAnsi"/>
          <w:sz w:val="20"/>
          <w:lang w:eastAsia="ja-JP"/>
        </w:rPr>
        <w:t>In addition, i</w:t>
      </w:r>
      <w:r w:rsidR="000655B7" w:rsidRPr="004C4369">
        <w:rPr>
          <w:rFonts w:cstheme="minorHAnsi"/>
          <w:sz w:val="20"/>
          <w:lang w:eastAsia="ja-JP"/>
        </w:rPr>
        <w:t>t has been agreed that the minK0 value is configured per-BWP. Thus, it is possible that in a carrier, it exists BWPs that are configured with minK0 and BWPs that are not configured with minK0.</w:t>
      </w:r>
      <w:r w:rsidR="00736896" w:rsidRPr="004C4369">
        <w:rPr>
          <w:rFonts w:cstheme="minorHAnsi"/>
          <w:sz w:val="20"/>
          <w:lang w:eastAsia="ja-JP"/>
        </w:rPr>
        <w:t xml:space="preserve"> </w:t>
      </w:r>
      <w:r w:rsidR="00722D9F" w:rsidRPr="004C4369">
        <w:rPr>
          <w:rFonts w:cstheme="minorHAnsi"/>
          <w:sz w:val="20"/>
          <w:lang w:eastAsia="ja-JP"/>
        </w:rPr>
        <w:t>In this sc</w:t>
      </w:r>
      <w:r w:rsidR="003E3AD5" w:rsidRPr="004C4369">
        <w:rPr>
          <w:rFonts w:cstheme="minorHAnsi"/>
          <w:sz w:val="20"/>
          <w:lang w:eastAsia="ja-JP"/>
        </w:rPr>
        <w:t>enario, there are two options can be</w:t>
      </w:r>
      <w:r w:rsidR="002819E7" w:rsidRPr="004C4369">
        <w:rPr>
          <w:rFonts w:cstheme="minorHAnsi"/>
          <w:sz w:val="20"/>
          <w:lang w:eastAsia="ja-JP"/>
        </w:rPr>
        <w:t xml:space="preserve"> considered related to </w:t>
      </w:r>
      <w:r w:rsidR="00E861CC" w:rsidRPr="004C4369">
        <w:rPr>
          <w:rFonts w:cstheme="minorHAnsi"/>
          <w:sz w:val="20"/>
          <w:lang w:eastAsia="ja-JP"/>
        </w:rPr>
        <w:t>the CSIF bit-field.</w:t>
      </w:r>
    </w:p>
    <w:p w14:paraId="622D7E8E" w14:textId="1EF98402" w:rsidR="00693D49" w:rsidRPr="004C4369" w:rsidRDefault="00693D49" w:rsidP="00693D49">
      <w:pPr>
        <w:pStyle w:val="ListParagraph"/>
        <w:numPr>
          <w:ilvl w:val="0"/>
          <w:numId w:val="55"/>
        </w:numPr>
        <w:rPr>
          <w:rFonts w:cstheme="minorHAnsi"/>
          <w:sz w:val="20"/>
          <w:lang w:eastAsia="ja-JP"/>
        </w:rPr>
      </w:pPr>
      <w:r w:rsidRPr="004C4369">
        <w:rPr>
          <w:rFonts w:cstheme="minorHAnsi"/>
          <w:sz w:val="20"/>
          <w:lang w:val="en-US" w:eastAsia="ja-JP"/>
        </w:rPr>
        <w:t>The CSIF bit-field presents in the DCI for all BWPs</w:t>
      </w:r>
      <w:r w:rsidR="007E0223" w:rsidRPr="004C4369">
        <w:rPr>
          <w:rFonts w:cstheme="minorHAnsi"/>
          <w:sz w:val="20"/>
          <w:lang w:val="en-US" w:eastAsia="ja-JP"/>
        </w:rPr>
        <w:t>, if at least, one BWP is configured with minK0.</w:t>
      </w:r>
    </w:p>
    <w:p w14:paraId="34A1BEC4" w14:textId="350CB569" w:rsidR="00693D49" w:rsidRPr="004C4369" w:rsidRDefault="00693D49" w:rsidP="009C604E">
      <w:pPr>
        <w:pStyle w:val="ListParagraph"/>
        <w:numPr>
          <w:ilvl w:val="0"/>
          <w:numId w:val="55"/>
        </w:numPr>
        <w:spacing w:after="240"/>
        <w:rPr>
          <w:rFonts w:cstheme="minorHAnsi"/>
          <w:sz w:val="20"/>
          <w:lang w:eastAsia="ja-JP"/>
        </w:rPr>
      </w:pPr>
      <w:r w:rsidRPr="004C4369">
        <w:rPr>
          <w:rFonts w:cstheme="minorHAnsi"/>
          <w:sz w:val="20"/>
          <w:lang w:val="en-US" w:eastAsia="ja-JP"/>
        </w:rPr>
        <w:t>The CSIF bit-filed presents in the DCI only for BWP configured with minK0 value.</w:t>
      </w:r>
    </w:p>
    <w:p w14:paraId="7DB86B5E" w14:textId="43A58F62" w:rsidR="0094372A" w:rsidRPr="004C4369" w:rsidRDefault="0028505D" w:rsidP="002860D9">
      <w:pPr>
        <w:spacing w:after="240"/>
        <w:jc w:val="both"/>
        <w:rPr>
          <w:rFonts w:cstheme="minorHAnsi"/>
          <w:sz w:val="20"/>
          <w:lang w:eastAsia="ja-JP"/>
        </w:rPr>
      </w:pPr>
      <w:r w:rsidRPr="004C4369">
        <w:rPr>
          <w:rFonts w:cstheme="minorHAnsi"/>
          <w:sz w:val="20"/>
          <w:lang w:eastAsia="ja-JP"/>
        </w:rPr>
        <w:t xml:space="preserve">Using </w:t>
      </w:r>
      <w:r w:rsidR="003339C5" w:rsidRPr="004C4369">
        <w:rPr>
          <w:rFonts w:cstheme="minorHAnsi"/>
          <w:sz w:val="20"/>
          <w:lang w:eastAsia="ja-JP"/>
        </w:rPr>
        <w:t xml:space="preserve">both options, </w:t>
      </w:r>
      <w:r w:rsidR="00C16A87">
        <w:rPr>
          <w:rFonts w:cstheme="minorHAnsi"/>
          <w:sz w:val="20"/>
          <w:lang w:eastAsia="ja-JP"/>
        </w:rPr>
        <w:t>a</w:t>
      </w:r>
      <w:r w:rsidR="00A17010">
        <w:rPr>
          <w:rFonts w:cstheme="minorHAnsi"/>
          <w:sz w:val="20"/>
          <w:lang w:eastAsia="ja-JP"/>
        </w:rPr>
        <w:t xml:space="preserve"> </w:t>
      </w:r>
      <w:r w:rsidR="003339C5" w:rsidRPr="004C4369">
        <w:rPr>
          <w:rFonts w:cstheme="minorHAnsi"/>
          <w:sz w:val="20"/>
          <w:lang w:eastAsia="ja-JP"/>
        </w:rPr>
        <w:t>transition from BWP configured with minK0 to BWP not-configured with minK0 can be conducted straightforwardly as anyway the target BWP will ignore the CSIF bit-field. For</w:t>
      </w:r>
      <w:r w:rsidR="00C16A87">
        <w:rPr>
          <w:rFonts w:cstheme="minorHAnsi"/>
          <w:sz w:val="20"/>
          <w:lang w:eastAsia="ja-JP"/>
        </w:rPr>
        <w:t xml:space="preserve"> a</w:t>
      </w:r>
      <w:r w:rsidR="003339C5" w:rsidRPr="004C4369">
        <w:rPr>
          <w:rFonts w:cstheme="minorHAnsi"/>
          <w:sz w:val="20"/>
          <w:lang w:eastAsia="ja-JP"/>
        </w:rPr>
        <w:t xml:space="preserve"> transition from a BWP not-configured with minK0 value to a BWP configured with minK0 value, however, those options will have different procedure</w:t>
      </w:r>
      <w:r w:rsidR="00094302" w:rsidRPr="004C4369">
        <w:rPr>
          <w:rFonts w:cstheme="minorHAnsi"/>
          <w:sz w:val="20"/>
          <w:lang w:eastAsia="ja-JP"/>
        </w:rPr>
        <w:t xml:space="preserve"> implication</w:t>
      </w:r>
      <w:r w:rsidR="003339C5" w:rsidRPr="004C4369">
        <w:rPr>
          <w:rFonts w:cstheme="minorHAnsi"/>
          <w:sz w:val="20"/>
          <w:lang w:eastAsia="ja-JP"/>
        </w:rPr>
        <w:t>.</w:t>
      </w:r>
      <w:r w:rsidR="000F408C" w:rsidRPr="004C4369">
        <w:rPr>
          <w:rFonts w:cstheme="minorHAnsi"/>
          <w:sz w:val="20"/>
          <w:lang w:eastAsia="ja-JP"/>
        </w:rPr>
        <w:t xml:space="preserve"> </w:t>
      </w:r>
      <w:r w:rsidR="003339C5" w:rsidRPr="004C4369">
        <w:rPr>
          <w:rFonts w:cstheme="minorHAnsi"/>
          <w:sz w:val="20"/>
          <w:lang w:eastAsia="ja-JP"/>
        </w:rPr>
        <w:t xml:space="preserve">Using the first option, </w:t>
      </w:r>
      <w:r w:rsidR="00B30AA1" w:rsidRPr="004C4369">
        <w:rPr>
          <w:rFonts w:cstheme="minorHAnsi"/>
          <w:sz w:val="20"/>
          <w:lang w:eastAsia="ja-JP"/>
        </w:rPr>
        <w:t xml:space="preserve">the transition is quite straightforward, i.e. the UE </w:t>
      </w:r>
      <w:r w:rsidR="002A3773" w:rsidRPr="004C4369">
        <w:rPr>
          <w:rFonts w:cstheme="minorHAnsi"/>
          <w:sz w:val="20"/>
          <w:lang w:eastAsia="ja-JP"/>
        </w:rPr>
        <w:t>will decode the DCI and act (whether to apply minK0 or not</w:t>
      </w:r>
      <w:r w:rsidR="0094372A" w:rsidRPr="004C4369">
        <w:rPr>
          <w:rFonts w:cstheme="minorHAnsi"/>
          <w:sz w:val="20"/>
          <w:lang w:eastAsia="ja-JP"/>
        </w:rPr>
        <w:t xml:space="preserve">) according to the CSIF bit-field of the source-BWP (which is not configured with minK0). </w:t>
      </w:r>
    </w:p>
    <w:p w14:paraId="43985F4D" w14:textId="28202477" w:rsidR="009C604E" w:rsidRDefault="0094372A" w:rsidP="002860D9">
      <w:pPr>
        <w:spacing w:after="240"/>
        <w:jc w:val="both"/>
        <w:rPr>
          <w:rFonts w:cstheme="minorHAnsi"/>
          <w:sz w:val="20"/>
          <w:lang w:eastAsia="ja-JP"/>
        </w:rPr>
      </w:pPr>
      <w:r w:rsidRPr="004C4369">
        <w:rPr>
          <w:rFonts w:cstheme="minorHAnsi"/>
          <w:sz w:val="20"/>
          <w:lang w:eastAsia="ja-JP"/>
        </w:rPr>
        <w:t>While it is not quite straightforward, the transition from a BWP without minK0 to a BWP with minK0 can also be handled</w:t>
      </w:r>
      <w:r w:rsidR="005229E8" w:rsidRPr="004C4369">
        <w:rPr>
          <w:rFonts w:cstheme="minorHAnsi"/>
          <w:sz w:val="20"/>
          <w:lang w:eastAsia="ja-JP"/>
        </w:rPr>
        <w:t xml:space="preserve"> without having CSIF included in the DCI of the BWP without minK0.</w:t>
      </w:r>
      <w:r w:rsidR="00366127" w:rsidRPr="004C4369">
        <w:rPr>
          <w:rFonts w:cstheme="minorHAnsi"/>
          <w:sz w:val="20"/>
          <w:lang w:eastAsia="ja-JP"/>
        </w:rPr>
        <w:t xml:space="preserve"> For example, we can use CSIF = 0 to indicate there is no minK0 restriction and CSIF = 1 indicates that minK0 is applied.</w:t>
      </w:r>
      <w:r w:rsidR="00DE0C85" w:rsidRPr="004C4369">
        <w:rPr>
          <w:rFonts w:cstheme="minorHAnsi"/>
          <w:sz w:val="20"/>
          <w:lang w:eastAsia="ja-JP"/>
        </w:rPr>
        <w:t xml:space="preserve"> When </w:t>
      </w:r>
      <w:r w:rsidR="008940C3" w:rsidRPr="004C4369">
        <w:rPr>
          <w:rFonts w:cstheme="minorHAnsi"/>
          <w:sz w:val="20"/>
          <w:lang w:eastAsia="ja-JP"/>
        </w:rPr>
        <w:t>a</w:t>
      </w:r>
      <w:r w:rsidR="00DE0C85" w:rsidRPr="004C4369">
        <w:rPr>
          <w:rFonts w:cstheme="minorHAnsi"/>
          <w:sz w:val="20"/>
          <w:lang w:eastAsia="ja-JP"/>
        </w:rPr>
        <w:t xml:space="preserve"> BWP-switch</w:t>
      </w:r>
      <w:r w:rsidR="008940C3" w:rsidRPr="004C4369">
        <w:rPr>
          <w:rFonts w:cstheme="minorHAnsi"/>
          <w:sz w:val="20"/>
          <w:lang w:eastAsia="ja-JP"/>
        </w:rPr>
        <w:t>ing</w:t>
      </w:r>
      <w:r w:rsidR="00DE0C85" w:rsidRPr="004C4369">
        <w:rPr>
          <w:rFonts w:cstheme="minorHAnsi"/>
          <w:sz w:val="20"/>
          <w:lang w:eastAsia="ja-JP"/>
        </w:rPr>
        <w:t xml:space="preserve"> command is received, the UE will switch to the BWP with minK0. As the</w:t>
      </w:r>
      <w:r w:rsidR="003D7F03" w:rsidRPr="004C4369">
        <w:rPr>
          <w:rFonts w:cstheme="minorHAnsi"/>
          <w:sz w:val="20"/>
          <w:lang w:eastAsia="ja-JP"/>
        </w:rPr>
        <w:t xml:space="preserve"> DCI size is different, a zero could be added to the DCI detection result. Thus, as CSIF = 0</w:t>
      </w:r>
      <w:r w:rsidR="004440BE" w:rsidRPr="004C4369">
        <w:rPr>
          <w:rFonts w:cstheme="minorHAnsi"/>
          <w:sz w:val="20"/>
          <w:lang w:eastAsia="ja-JP"/>
        </w:rPr>
        <w:t xml:space="preserve"> is assumed</w:t>
      </w:r>
      <w:r w:rsidR="003D7F03" w:rsidRPr="004C4369">
        <w:rPr>
          <w:rFonts w:cstheme="minorHAnsi"/>
          <w:sz w:val="20"/>
          <w:lang w:eastAsia="ja-JP"/>
        </w:rPr>
        <w:t>, the UE will remain in the SS-state (i.e. no minK0 restriction in the new BWP).</w:t>
      </w:r>
      <w:r w:rsidRPr="004C4369">
        <w:rPr>
          <w:rFonts w:cstheme="minorHAnsi"/>
          <w:sz w:val="20"/>
          <w:lang w:eastAsia="ja-JP"/>
        </w:rPr>
        <w:t xml:space="preserve"> </w:t>
      </w:r>
      <w:r w:rsidR="003339C5" w:rsidRPr="004C4369">
        <w:rPr>
          <w:rFonts w:cstheme="minorHAnsi"/>
          <w:sz w:val="20"/>
          <w:lang w:eastAsia="ja-JP"/>
        </w:rPr>
        <w:t xml:space="preserve"> </w:t>
      </w:r>
    </w:p>
    <w:p w14:paraId="164DA10D" w14:textId="1BF39357" w:rsidR="00610BED" w:rsidRDefault="00610BED" w:rsidP="00610BED">
      <w:pPr>
        <w:spacing w:after="240"/>
        <w:jc w:val="center"/>
        <w:rPr>
          <w:rFonts w:cstheme="minorHAnsi"/>
          <w:sz w:val="20"/>
          <w:lang w:eastAsia="ja-JP"/>
        </w:rPr>
      </w:pPr>
      <w:r>
        <w:rPr>
          <w:rFonts w:cstheme="minorHAnsi"/>
          <w:noProof/>
          <w:sz w:val="20"/>
          <w:lang w:eastAsia="ja-JP"/>
        </w:rPr>
        <w:drawing>
          <wp:inline distT="0" distB="0" distL="0" distR="0" wp14:anchorId="6A682CFF" wp14:editId="39931BE9">
            <wp:extent cx="5352471" cy="144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52471" cy="1440000"/>
                    </a:xfrm>
                    <a:prstGeom prst="rect">
                      <a:avLst/>
                    </a:prstGeom>
                    <a:noFill/>
                  </pic:spPr>
                </pic:pic>
              </a:graphicData>
            </a:graphic>
          </wp:inline>
        </w:drawing>
      </w:r>
    </w:p>
    <w:p w14:paraId="2E5A774C" w14:textId="6931724A" w:rsidR="0068383E" w:rsidRDefault="00610BED" w:rsidP="0071686D">
      <w:pPr>
        <w:spacing w:after="240"/>
        <w:jc w:val="center"/>
        <w:rPr>
          <w:rFonts w:cstheme="minorHAnsi"/>
          <w:sz w:val="20"/>
          <w:lang w:eastAsia="ja-JP"/>
        </w:rPr>
      </w:pPr>
      <w:r w:rsidRPr="00610BED">
        <w:rPr>
          <w:rFonts w:cstheme="minorHAnsi"/>
          <w:b/>
          <w:sz w:val="20"/>
          <w:lang w:eastAsia="ja-JP"/>
        </w:rPr>
        <w:t>Figure 1.</w:t>
      </w:r>
      <w:r>
        <w:rPr>
          <w:rFonts w:cstheme="minorHAnsi"/>
          <w:sz w:val="20"/>
          <w:lang w:eastAsia="ja-JP"/>
        </w:rPr>
        <w:t xml:space="preserve"> </w:t>
      </w:r>
      <w:r w:rsidR="00824A3A">
        <w:rPr>
          <w:rFonts w:cstheme="minorHAnsi"/>
          <w:sz w:val="20"/>
          <w:lang w:eastAsia="ja-JP"/>
        </w:rPr>
        <w:t>BWP switch with a transition from BWP without minK0 configured to the SS-state of the BWP with minK0 configured.</w:t>
      </w:r>
    </w:p>
    <w:p w14:paraId="2C5C847F" w14:textId="77777777" w:rsidR="0071686D" w:rsidRDefault="0071686D" w:rsidP="0071686D">
      <w:pPr>
        <w:spacing w:after="240"/>
        <w:jc w:val="center"/>
        <w:rPr>
          <w:rFonts w:cstheme="minorHAnsi"/>
          <w:sz w:val="20"/>
          <w:lang w:eastAsia="ja-JP"/>
        </w:rPr>
      </w:pPr>
    </w:p>
    <w:p w14:paraId="37B4E476" w14:textId="09CBF478" w:rsidR="00726D75" w:rsidRPr="004C4369" w:rsidRDefault="00726D75" w:rsidP="00726D75">
      <w:pPr>
        <w:spacing w:after="240"/>
        <w:jc w:val="center"/>
        <w:rPr>
          <w:rFonts w:cstheme="minorHAnsi"/>
          <w:sz w:val="20"/>
          <w:lang w:eastAsia="ja-JP"/>
        </w:rPr>
      </w:pPr>
      <w:r>
        <w:rPr>
          <w:rFonts w:cstheme="minorHAnsi"/>
          <w:noProof/>
          <w:sz w:val="20"/>
          <w:lang w:eastAsia="ja-JP"/>
        </w:rPr>
        <w:drawing>
          <wp:inline distT="0" distB="0" distL="0" distR="0" wp14:anchorId="4851AB1C" wp14:editId="07E77698">
            <wp:extent cx="5981032" cy="144000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81032" cy="1440000"/>
                    </a:xfrm>
                    <a:prstGeom prst="rect">
                      <a:avLst/>
                    </a:prstGeom>
                    <a:noFill/>
                  </pic:spPr>
                </pic:pic>
              </a:graphicData>
            </a:graphic>
          </wp:inline>
        </w:drawing>
      </w:r>
    </w:p>
    <w:p w14:paraId="4A65219F" w14:textId="067C15F1" w:rsidR="0071686D" w:rsidRDefault="0071686D" w:rsidP="0071686D">
      <w:pPr>
        <w:spacing w:after="240"/>
        <w:jc w:val="center"/>
        <w:rPr>
          <w:rFonts w:cstheme="minorHAnsi"/>
          <w:sz w:val="20"/>
          <w:lang w:eastAsia="ja-JP"/>
        </w:rPr>
      </w:pPr>
      <w:r w:rsidRPr="00610BED">
        <w:rPr>
          <w:rFonts w:cstheme="minorHAnsi"/>
          <w:b/>
          <w:sz w:val="20"/>
          <w:lang w:eastAsia="ja-JP"/>
        </w:rPr>
        <w:t xml:space="preserve">Figure </w:t>
      </w:r>
      <w:r>
        <w:rPr>
          <w:rFonts w:cstheme="minorHAnsi"/>
          <w:b/>
          <w:sz w:val="20"/>
          <w:lang w:eastAsia="ja-JP"/>
        </w:rPr>
        <w:t>2</w:t>
      </w:r>
      <w:r w:rsidRPr="00610BED">
        <w:rPr>
          <w:rFonts w:cstheme="minorHAnsi"/>
          <w:b/>
          <w:sz w:val="20"/>
          <w:lang w:eastAsia="ja-JP"/>
        </w:rPr>
        <w:t>.</w:t>
      </w:r>
      <w:r>
        <w:rPr>
          <w:rFonts w:cstheme="minorHAnsi"/>
          <w:sz w:val="20"/>
          <w:lang w:eastAsia="ja-JP"/>
        </w:rPr>
        <w:t xml:space="preserve"> BWP switch with a transition from BWP without minK0 configured to the CS-state of the BWP with minK0 configured</w:t>
      </w:r>
      <w:r w:rsidR="00A04C61">
        <w:rPr>
          <w:rFonts w:cstheme="minorHAnsi"/>
          <w:sz w:val="20"/>
          <w:lang w:eastAsia="ja-JP"/>
        </w:rPr>
        <w:t>. Note that the application delay covers the possibility of retransmission.</w:t>
      </w:r>
    </w:p>
    <w:p w14:paraId="759C180D" w14:textId="77777777" w:rsidR="0071686D" w:rsidRDefault="0071686D" w:rsidP="002860D9">
      <w:pPr>
        <w:spacing w:after="240"/>
        <w:jc w:val="both"/>
        <w:rPr>
          <w:rFonts w:cstheme="minorHAnsi"/>
          <w:sz w:val="20"/>
          <w:lang w:eastAsia="ja-JP"/>
        </w:rPr>
      </w:pPr>
    </w:p>
    <w:p w14:paraId="3CD3BF78" w14:textId="275150F9" w:rsidR="000F7212" w:rsidRDefault="000F7212" w:rsidP="002860D9">
      <w:pPr>
        <w:spacing w:after="240"/>
        <w:jc w:val="both"/>
        <w:rPr>
          <w:rFonts w:cstheme="minorHAnsi"/>
          <w:sz w:val="20"/>
          <w:lang w:eastAsia="ja-JP"/>
        </w:rPr>
      </w:pPr>
      <w:r w:rsidRPr="004C4369">
        <w:rPr>
          <w:rFonts w:cstheme="minorHAnsi"/>
          <w:sz w:val="20"/>
          <w:lang w:eastAsia="ja-JP"/>
        </w:rPr>
        <w:t>For the case of the UE (and the NW) want to transit to the CS-state, it should be kept in mind that it will be strongly beneficial if the transition delay covers the HARQ procedure. As the HARQ procedure itself completed after the PDSCH successfully decoded, the direct transition to CS-state in the target BWP is not really necessary. In line with our other proposal, the transition to CS-state can be conducted, e.g., by the absence of DCI for several slots after the UE enters the target BWP and the PDSCH is successfully decoded.</w:t>
      </w:r>
    </w:p>
    <w:p w14:paraId="269C1F40" w14:textId="77777777" w:rsidR="00255CDC" w:rsidRDefault="00EF0630" w:rsidP="002860D9">
      <w:pPr>
        <w:spacing w:after="240"/>
        <w:jc w:val="both"/>
        <w:rPr>
          <w:rFonts w:cstheme="minorHAnsi"/>
          <w:sz w:val="20"/>
          <w:lang w:eastAsia="ja-JP"/>
        </w:rPr>
      </w:pPr>
      <w:r>
        <w:rPr>
          <w:rFonts w:cstheme="minorHAnsi"/>
          <w:sz w:val="20"/>
          <w:lang w:eastAsia="ja-JP"/>
        </w:rPr>
        <w:t xml:space="preserve">From </w:t>
      </w:r>
      <w:r w:rsidR="004D12F7">
        <w:rPr>
          <w:rFonts w:cstheme="minorHAnsi"/>
          <w:sz w:val="20"/>
          <w:lang w:eastAsia="ja-JP"/>
        </w:rPr>
        <w:t xml:space="preserve">above discussion, it can be seen that </w:t>
      </w:r>
      <w:r w:rsidR="008B2831">
        <w:rPr>
          <w:rFonts w:cstheme="minorHAnsi"/>
          <w:sz w:val="20"/>
          <w:lang w:eastAsia="ja-JP"/>
        </w:rPr>
        <w:t xml:space="preserve">the </w:t>
      </w:r>
      <w:r w:rsidR="008B2831" w:rsidRPr="004C4369">
        <w:rPr>
          <w:rFonts w:cstheme="minorHAnsi"/>
          <w:sz w:val="20"/>
          <w:lang w:eastAsia="ja-JP"/>
        </w:rPr>
        <w:t>transition between BWP configured with minK0 and BWP not-configured with minK0 can be handled without adding the CSIF bit-field to the DCI monitored in the BWP not configured with minK0</w:t>
      </w:r>
      <w:r w:rsidR="008B2831">
        <w:rPr>
          <w:rFonts w:cstheme="minorHAnsi"/>
          <w:sz w:val="20"/>
          <w:lang w:eastAsia="ja-JP"/>
        </w:rPr>
        <w:t xml:space="preserve">. In addition to that, </w:t>
      </w:r>
      <w:r w:rsidR="0056173B">
        <w:rPr>
          <w:rFonts w:cstheme="minorHAnsi"/>
          <w:sz w:val="20"/>
          <w:lang w:eastAsia="ja-JP"/>
        </w:rPr>
        <w:t>adding CSIF bit-field to the BWP not configured with minK0 will increase the DCI payload</w:t>
      </w:r>
      <w:r w:rsidR="00817748">
        <w:rPr>
          <w:rFonts w:cstheme="minorHAnsi"/>
          <w:sz w:val="20"/>
          <w:lang w:eastAsia="ja-JP"/>
        </w:rPr>
        <w:t xml:space="preserve"> unnecessarily</w:t>
      </w:r>
      <w:r w:rsidR="008F25B7">
        <w:rPr>
          <w:rFonts w:cstheme="minorHAnsi"/>
          <w:sz w:val="20"/>
          <w:lang w:eastAsia="ja-JP"/>
        </w:rPr>
        <w:t xml:space="preserve">. </w:t>
      </w:r>
      <w:r w:rsidR="003237FB">
        <w:rPr>
          <w:rFonts w:cstheme="minorHAnsi"/>
          <w:sz w:val="20"/>
          <w:lang w:eastAsia="ja-JP"/>
        </w:rPr>
        <w:t xml:space="preserve">Note that there might be many cases that the </w:t>
      </w:r>
      <w:r w:rsidR="0008647E">
        <w:rPr>
          <w:rFonts w:cstheme="minorHAnsi"/>
          <w:sz w:val="20"/>
          <w:lang w:eastAsia="ja-JP"/>
        </w:rPr>
        <w:t>offset restriction</w:t>
      </w:r>
      <w:r w:rsidR="00817748">
        <w:rPr>
          <w:rFonts w:cstheme="minorHAnsi"/>
          <w:sz w:val="20"/>
          <w:lang w:eastAsia="ja-JP"/>
        </w:rPr>
        <w:t xml:space="preserve"> is not configured. In the uplink (UL) BWP, especially, the </w:t>
      </w:r>
      <w:r w:rsidR="00A86F62">
        <w:rPr>
          <w:rFonts w:cstheme="minorHAnsi"/>
          <w:sz w:val="20"/>
          <w:lang w:eastAsia="ja-JP"/>
        </w:rPr>
        <w:t>typical value of K2 in the TDRA table is more than 0 (a.k.a. already in the cross-slot mode)</w:t>
      </w:r>
      <w:r w:rsidR="00626885">
        <w:rPr>
          <w:rFonts w:cstheme="minorHAnsi"/>
          <w:sz w:val="20"/>
          <w:lang w:eastAsia="ja-JP"/>
        </w:rPr>
        <w:t xml:space="preserve"> which implies that </w:t>
      </w:r>
      <w:r w:rsidR="00E65872">
        <w:rPr>
          <w:rFonts w:cstheme="minorHAnsi"/>
          <w:sz w:val="20"/>
          <w:lang w:eastAsia="ja-JP"/>
        </w:rPr>
        <w:t xml:space="preserve">in most cases, the minK2 restriction is not </w:t>
      </w:r>
      <w:r w:rsidR="007F41F9">
        <w:rPr>
          <w:rFonts w:cstheme="minorHAnsi"/>
          <w:sz w:val="20"/>
          <w:lang w:eastAsia="ja-JP"/>
        </w:rPr>
        <w:t>firmly</w:t>
      </w:r>
      <w:r w:rsidR="00E55053">
        <w:rPr>
          <w:rFonts w:cstheme="minorHAnsi"/>
          <w:sz w:val="20"/>
          <w:lang w:eastAsia="ja-JP"/>
        </w:rPr>
        <w:t xml:space="preserve"> required</w:t>
      </w:r>
      <w:r w:rsidR="007F41F9">
        <w:rPr>
          <w:rFonts w:cstheme="minorHAnsi"/>
          <w:sz w:val="20"/>
          <w:lang w:eastAsia="ja-JP"/>
        </w:rPr>
        <w:t xml:space="preserve"> for power</w:t>
      </w:r>
      <w:r w:rsidR="002D3A28">
        <w:rPr>
          <w:rFonts w:cstheme="minorHAnsi"/>
          <w:sz w:val="20"/>
          <w:lang w:eastAsia="ja-JP"/>
        </w:rPr>
        <w:t>-</w:t>
      </w:r>
      <w:r w:rsidR="007F41F9">
        <w:rPr>
          <w:rFonts w:cstheme="minorHAnsi"/>
          <w:sz w:val="20"/>
          <w:lang w:eastAsia="ja-JP"/>
        </w:rPr>
        <w:t>saving.</w:t>
      </w:r>
      <w:r w:rsidR="00255CDC">
        <w:rPr>
          <w:rFonts w:cstheme="minorHAnsi"/>
          <w:sz w:val="20"/>
          <w:lang w:eastAsia="ja-JP"/>
        </w:rPr>
        <w:t xml:space="preserve"> </w:t>
      </w:r>
    </w:p>
    <w:p w14:paraId="2C2731A5" w14:textId="69D6A9C6" w:rsidR="00EF0630" w:rsidRDefault="00255CDC" w:rsidP="002860D9">
      <w:pPr>
        <w:spacing w:after="240"/>
        <w:jc w:val="both"/>
        <w:rPr>
          <w:rFonts w:cstheme="minorHAnsi"/>
          <w:sz w:val="20"/>
          <w:lang w:eastAsia="ja-JP"/>
        </w:rPr>
      </w:pPr>
      <w:r>
        <w:rPr>
          <w:rFonts w:cstheme="minorHAnsi"/>
          <w:sz w:val="20"/>
          <w:lang w:eastAsia="ja-JP"/>
        </w:rPr>
        <w:t>It is highly preferable to avoid unnecessarily increasing DCI overhead for BWPs that are not configured with cross-slot scheduling. For such cases, a default assumption can be considered during transitions and avoid extra 1-bit increase.</w:t>
      </w:r>
    </w:p>
    <w:p w14:paraId="156A3D75" w14:textId="1C462686" w:rsidR="00C51BBA" w:rsidRPr="00BE136B" w:rsidRDefault="004367F2" w:rsidP="00BE136B">
      <w:pPr>
        <w:pStyle w:val="Proposal"/>
        <w:numPr>
          <w:ilvl w:val="0"/>
          <w:numId w:val="3"/>
        </w:numPr>
        <w:tabs>
          <w:tab w:val="clear" w:pos="1304"/>
        </w:tabs>
        <w:ind w:left="1701" w:hanging="1701"/>
        <w:rPr>
          <w:rFonts w:cs="Arial"/>
          <w:sz w:val="20"/>
        </w:rPr>
      </w:pPr>
      <w:bookmarkStart w:id="3" w:name="_Toc24137494"/>
      <w:r>
        <w:rPr>
          <w:rFonts w:cs="Arial"/>
          <w:sz w:val="20"/>
        </w:rPr>
        <w:t xml:space="preserve">CSIF </w:t>
      </w:r>
      <w:r w:rsidRPr="004367F2">
        <w:rPr>
          <w:rFonts w:cs="Arial"/>
          <w:sz w:val="20"/>
        </w:rPr>
        <w:t>field is present in DCI monitored in a BWP only if min K0/K2 is configured for the BWP</w:t>
      </w:r>
      <w:r w:rsidRPr="00B70A53">
        <w:rPr>
          <w:rFonts w:cs="Arial"/>
          <w:sz w:val="20"/>
        </w:rPr>
        <w:t>.</w:t>
      </w:r>
      <w:bookmarkEnd w:id="3"/>
    </w:p>
    <w:p w14:paraId="72BD7E5A" w14:textId="41C8F1C5" w:rsidR="00F963BE" w:rsidRDefault="00F963BE" w:rsidP="007F6333">
      <w:pPr>
        <w:rPr>
          <w:sz w:val="20"/>
          <w:lang w:eastAsia="ja-JP"/>
        </w:rPr>
      </w:pPr>
    </w:p>
    <w:p w14:paraId="159A68F2" w14:textId="76361FF8" w:rsidR="00F963BE" w:rsidRPr="00FC5CF1" w:rsidRDefault="00F963BE" w:rsidP="00F963BE">
      <w:pPr>
        <w:pStyle w:val="Heading3"/>
        <w:spacing w:before="0"/>
        <w:rPr>
          <w:sz w:val="24"/>
          <w:szCs w:val="30"/>
          <w:lang w:val="en-US"/>
        </w:rPr>
      </w:pPr>
      <w:r w:rsidRPr="00FC5CF1">
        <w:rPr>
          <w:sz w:val="24"/>
          <w:szCs w:val="30"/>
          <w:lang w:val="en-US"/>
        </w:rPr>
        <w:t>2.</w:t>
      </w:r>
      <w:r>
        <w:rPr>
          <w:sz w:val="24"/>
          <w:szCs w:val="30"/>
          <w:lang w:val="en-US"/>
        </w:rPr>
        <w:t>2</w:t>
      </w:r>
      <w:r w:rsidRPr="00FC5CF1">
        <w:rPr>
          <w:sz w:val="24"/>
          <w:szCs w:val="30"/>
          <w:lang w:val="en-US"/>
        </w:rPr>
        <w:t>.</w:t>
      </w:r>
      <w:r w:rsidR="00792C32">
        <w:rPr>
          <w:sz w:val="24"/>
          <w:szCs w:val="30"/>
          <w:lang w:val="en-US"/>
        </w:rPr>
        <w:t>2</w:t>
      </w:r>
      <w:r>
        <w:rPr>
          <w:sz w:val="24"/>
          <w:szCs w:val="30"/>
          <w:lang w:val="en-US"/>
        </w:rPr>
        <w:t>.</w:t>
      </w:r>
      <w:r w:rsidRPr="00FC5CF1">
        <w:rPr>
          <w:sz w:val="24"/>
          <w:szCs w:val="30"/>
          <w:lang w:val="en-US"/>
        </w:rPr>
        <w:tab/>
      </w:r>
      <w:r w:rsidR="00141657">
        <w:rPr>
          <w:sz w:val="24"/>
          <w:szCs w:val="30"/>
          <w:lang w:val="en-US"/>
        </w:rPr>
        <w:t>UE detects K0 less than minK0</w:t>
      </w:r>
    </w:p>
    <w:p w14:paraId="49317C1B" w14:textId="77777777" w:rsidR="00445910" w:rsidRDefault="00020BD6" w:rsidP="008E0FD8">
      <w:pPr>
        <w:jc w:val="both"/>
        <w:rPr>
          <w:rFonts w:cstheme="minorHAnsi"/>
          <w:sz w:val="20"/>
          <w:lang w:eastAsia="ja-JP"/>
        </w:rPr>
      </w:pPr>
      <w:r>
        <w:rPr>
          <w:rFonts w:cstheme="minorHAnsi"/>
          <w:sz w:val="20"/>
          <w:lang w:eastAsia="ja-JP"/>
        </w:rPr>
        <w:t>When receiving the PDCCH, there is a possibility th</w:t>
      </w:r>
      <w:r w:rsidR="008E0FD8">
        <w:rPr>
          <w:rFonts w:cstheme="minorHAnsi"/>
          <w:sz w:val="20"/>
          <w:lang w:eastAsia="ja-JP"/>
        </w:rPr>
        <w:t>at UE decodes K0 value that is not consistent with the current minK0 value or the UE current state.</w:t>
      </w:r>
      <w:r w:rsidR="0008451D">
        <w:rPr>
          <w:rFonts w:cstheme="minorHAnsi"/>
          <w:sz w:val="20"/>
          <w:lang w:eastAsia="ja-JP"/>
        </w:rPr>
        <w:t xml:space="preserve"> More specifically, the</w:t>
      </w:r>
      <w:r w:rsidR="00800D8E">
        <w:rPr>
          <w:rFonts w:cstheme="minorHAnsi"/>
          <w:sz w:val="20"/>
          <w:lang w:eastAsia="ja-JP"/>
        </w:rPr>
        <w:t xml:space="preserve"> UE</w:t>
      </w:r>
      <w:r w:rsidR="0008451D">
        <w:rPr>
          <w:rFonts w:cstheme="minorHAnsi"/>
          <w:sz w:val="20"/>
          <w:lang w:eastAsia="ja-JP"/>
        </w:rPr>
        <w:t xml:space="preserve"> </w:t>
      </w:r>
      <w:r w:rsidR="00987045">
        <w:rPr>
          <w:rFonts w:cstheme="minorHAnsi"/>
          <w:sz w:val="20"/>
          <w:lang w:eastAsia="ja-JP"/>
        </w:rPr>
        <w:t xml:space="preserve">could decode CSIF = 1 and receives a K0 value less than minK0. In this case, it is </w:t>
      </w:r>
      <w:r w:rsidR="00023C10">
        <w:rPr>
          <w:rFonts w:cstheme="minorHAnsi"/>
          <w:sz w:val="20"/>
          <w:lang w:eastAsia="ja-JP"/>
        </w:rPr>
        <w:t>difficult</w:t>
      </w:r>
      <w:r w:rsidR="00987045">
        <w:rPr>
          <w:rFonts w:cstheme="minorHAnsi"/>
          <w:sz w:val="20"/>
          <w:lang w:eastAsia="ja-JP"/>
        </w:rPr>
        <w:t xml:space="preserve"> to determine whether the UE decodes incorrectly for the CSIF value or the K0 value.</w:t>
      </w:r>
      <w:r w:rsidR="00800D8E">
        <w:rPr>
          <w:rFonts w:cstheme="minorHAnsi"/>
          <w:sz w:val="20"/>
          <w:lang w:eastAsia="ja-JP"/>
        </w:rPr>
        <w:t xml:space="preserve"> </w:t>
      </w:r>
    </w:p>
    <w:p w14:paraId="78C9A6A9" w14:textId="77777777" w:rsidR="00445910" w:rsidRDefault="00800D8E" w:rsidP="008E0FD8">
      <w:pPr>
        <w:jc w:val="both"/>
        <w:rPr>
          <w:rFonts w:cstheme="minorHAnsi"/>
          <w:sz w:val="20"/>
          <w:lang w:eastAsia="ja-JP"/>
        </w:rPr>
      </w:pPr>
      <w:r>
        <w:rPr>
          <w:rFonts w:cstheme="minorHAnsi"/>
          <w:sz w:val="20"/>
          <w:lang w:eastAsia="ja-JP"/>
        </w:rPr>
        <w:t xml:space="preserve">Second, it can also happen </w:t>
      </w:r>
      <w:r w:rsidR="0038739E">
        <w:rPr>
          <w:rFonts w:cstheme="minorHAnsi"/>
          <w:sz w:val="20"/>
          <w:lang w:eastAsia="ja-JP"/>
        </w:rPr>
        <w:t>that</w:t>
      </w:r>
      <w:r w:rsidR="00040B08">
        <w:rPr>
          <w:rFonts w:cstheme="minorHAnsi"/>
          <w:sz w:val="20"/>
          <w:lang w:eastAsia="ja-JP"/>
        </w:rPr>
        <w:t xml:space="preserve"> the UE decodes CSIF = 0, receives K0 less than minK0, but is still in the CS-state. </w:t>
      </w:r>
    </w:p>
    <w:p w14:paraId="034653D9" w14:textId="77777777" w:rsidR="008C34DD" w:rsidRDefault="00040B08" w:rsidP="008E0FD8">
      <w:pPr>
        <w:jc w:val="both"/>
        <w:rPr>
          <w:rFonts w:cstheme="minorHAnsi"/>
          <w:sz w:val="20"/>
          <w:lang w:eastAsia="ja-JP"/>
        </w:rPr>
      </w:pPr>
      <w:r>
        <w:rPr>
          <w:rFonts w:cstheme="minorHAnsi"/>
          <w:sz w:val="20"/>
          <w:lang w:eastAsia="ja-JP"/>
        </w:rPr>
        <w:t>For both cases, the UE will not be able to decode the PDSCH. As the UE detects an inconsistent DCI, the UE should consider it as an error case</w:t>
      </w:r>
      <w:r w:rsidR="000036A8">
        <w:rPr>
          <w:rFonts w:cstheme="minorHAnsi"/>
          <w:sz w:val="20"/>
          <w:lang w:eastAsia="ja-JP"/>
        </w:rPr>
        <w:t>,</w:t>
      </w:r>
      <w:r>
        <w:rPr>
          <w:rFonts w:cstheme="minorHAnsi"/>
          <w:sz w:val="20"/>
          <w:lang w:eastAsia="ja-JP"/>
        </w:rPr>
        <w:t xml:space="preserve"> discard the DCI.</w:t>
      </w:r>
      <w:r w:rsidR="00951368">
        <w:rPr>
          <w:rFonts w:cstheme="minorHAnsi"/>
          <w:sz w:val="20"/>
          <w:lang w:eastAsia="ja-JP"/>
        </w:rPr>
        <w:t xml:space="preserve"> </w:t>
      </w:r>
    </w:p>
    <w:p w14:paraId="5FB8BE1D" w14:textId="538BEAEF" w:rsidR="00F963BE" w:rsidRDefault="008C34DD" w:rsidP="008E0FD8">
      <w:pPr>
        <w:jc w:val="both"/>
        <w:rPr>
          <w:rFonts w:cstheme="minorHAnsi"/>
          <w:sz w:val="20"/>
          <w:lang w:eastAsia="ja-JP"/>
        </w:rPr>
      </w:pPr>
      <w:r>
        <w:rPr>
          <w:rFonts w:cstheme="minorHAnsi"/>
          <w:sz w:val="20"/>
          <w:lang w:eastAsia="ja-JP"/>
        </w:rPr>
        <w:t xml:space="preserve">If the misalignment between </w:t>
      </w:r>
      <w:proofErr w:type="spellStart"/>
      <w:r>
        <w:rPr>
          <w:rFonts w:cstheme="minorHAnsi"/>
          <w:sz w:val="20"/>
          <w:lang w:eastAsia="ja-JP"/>
        </w:rPr>
        <w:t>gNB</w:t>
      </w:r>
      <w:proofErr w:type="spellEnd"/>
      <w:r>
        <w:rPr>
          <w:rFonts w:cstheme="minorHAnsi"/>
          <w:sz w:val="20"/>
          <w:lang w:eastAsia="ja-JP"/>
        </w:rPr>
        <w:t xml:space="preserve"> and UE persists, that would be undesirable and hence some mechanism where </w:t>
      </w:r>
      <w:proofErr w:type="spellStart"/>
      <w:r>
        <w:rPr>
          <w:rFonts w:cstheme="minorHAnsi"/>
          <w:sz w:val="20"/>
          <w:lang w:eastAsia="ja-JP"/>
        </w:rPr>
        <w:t>gNB</w:t>
      </w:r>
      <w:proofErr w:type="spellEnd"/>
      <w:r>
        <w:rPr>
          <w:rFonts w:cstheme="minorHAnsi"/>
          <w:sz w:val="20"/>
          <w:lang w:eastAsia="ja-JP"/>
        </w:rPr>
        <w:t xml:space="preserve"> can expect alignment with UE should be considered </w:t>
      </w:r>
      <w:r w:rsidR="00E353F2">
        <w:rPr>
          <w:rFonts w:cstheme="minorHAnsi"/>
          <w:sz w:val="20"/>
          <w:lang w:eastAsia="ja-JP"/>
        </w:rPr>
        <w:t xml:space="preserve">as discussed </w:t>
      </w:r>
      <w:r>
        <w:rPr>
          <w:rFonts w:cstheme="minorHAnsi"/>
          <w:sz w:val="20"/>
          <w:lang w:eastAsia="ja-JP"/>
        </w:rPr>
        <w:t>in the transition handling</w:t>
      </w:r>
      <w:r w:rsidR="00E353F2">
        <w:rPr>
          <w:rFonts w:cstheme="minorHAnsi"/>
          <w:sz w:val="20"/>
          <w:lang w:eastAsia="ja-JP"/>
        </w:rPr>
        <w:t xml:space="preserve"> section below</w:t>
      </w:r>
      <w:r>
        <w:rPr>
          <w:rFonts w:cstheme="minorHAnsi"/>
          <w:sz w:val="20"/>
          <w:lang w:eastAsia="ja-JP"/>
        </w:rPr>
        <w:t xml:space="preserve">. </w:t>
      </w:r>
    </w:p>
    <w:p w14:paraId="1C967DB1" w14:textId="6679B615" w:rsidR="00DB6B8F" w:rsidRPr="007C56C4" w:rsidRDefault="00DB6B8F" w:rsidP="00DB6B8F">
      <w:pPr>
        <w:pStyle w:val="Heading2"/>
        <w:rPr>
          <w:sz w:val="28"/>
          <w:lang w:val="en-US"/>
        </w:rPr>
      </w:pPr>
      <w:r w:rsidRPr="008D73CF">
        <w:rPr>
          <w:sz w:val="28"/>
          <w:lang w:val="en-US"/>
        </w:rPr>
        <w:t>2.</w:t>
      </w:r>
      <w:r>
        <w:rPr>
          <w:sz w:val="28"/>
          <w:lang w:val="en-US"/>
        </w:rPr>
        <w:t>3</w:t>
      </w:r>
      <w:r w:rsidRPr="008D73CF">
        <w:rPr>
          <w:sz w:val="28"/>
          <w:lang w:val="en-US"/>
        </w:rPr>
        <w:tab/>
      </w:r>
      <w:r>
        <w:rPr>
          <w:sz w:val="28"/>
          <w:lang w:val="en-US"/>
        </w:rPr>
        <w:t>Transition handling</w:t>
      </w:r>
    </w:p>
    <w:p w14:paraId="7A1EF145" w14:textId="72604F69" w:rsidR="00337E60" w:rsidRPr="003628DD" w:rsidRDefault="00337E60" w:rsidP="00337E60">
      <w:pPr>
        <w:pStyle w:val="Heading3"/>
        <w:rPr>
          <w:i/>
          <w:sz w:val="24"/>
          <w:lang w:val="en-US"/>
        </w:rPr>
      </w:pPr>
      <w:r w:rsidRPr="007C11CD">
        <w:rPr>
          <w:sz w:val="24"/>
          <w:lang w:val="en-US"/>
        </w:rPr>
        <w:t>2.</w:t>
      </w:r>
      <w:r>
        <w:rPr>
          <w:sz w:val="24"/>
          <w:lang w:val="en-US"/>
        </w:rPr>
        <w:t>3.1</w:t>
      </w:r>
      <w:r w:rsidRPr="007C11CD">
        <w:rPr>
          <w:sz w:val="24"/>
          <w:lang w:val="en-US"/>
        </w:rPr>
        <w:tab/>
      </w:r>
      <w:r>
        <w:rPr>
          <w:sz w:val="24"/>
          <w:lang w:val="en-US"/>
        </w:rPr>
        <w:t>Transition from SS-state to CS-sta</w:t>
      </w:r>
      <w:r w:rsidR="00255E7F">
        <w:rPr>
          <w:sz w:val="24"/>
          <w:lang w:val="en-US"/>
        </w:rPr>
        <w:t>te</w:t>
      </w:r>
    </w:p>
    <w:p w14:paraId="2F5F5A59" w14:textId="70F19B50" w:rsidR="00255E7F" w:rsidRDefault="00255E7F" w:rsidP="00255E7F">
      <w:pPr>
        <w:rPr>
          <w:sz w:val="20"/>
          <w:lang w:eastAsia="ja-JP"/>
        </w:rPr>
      </w:pPr>
      <w:r w:rsidRPr="00255E7F">
        <w:rPr>
          <w:sz w:val="20"/>
          <w:lang w:eastAsia="ja-JP"/>
        </w:rPr>
        <w:t>When data transmission from the gNB is finished, it is beneficial for the UE to go back to the CS-state. To trigger SS to CS transition, there are several options:</w:t>
      </w:r>
    </w:p>
    <w:p w14:paraId="44AF5DA4" w14:textId="77777777" w:rsidR="00255E7F" w:rsidRPr="00255E7F" w:rsidRDefault="00255E7F" w:rsidP="00255E7F">
      <w:pPr>
        <w:pStyle w:val="ListParagraph"/>
        <w:numPr>
          <w:ilvl w:val="0"/>
          <w:numId w:val="57"/>
        </w:numPr>
        <w:rPr>
          <w:sz w:val="20"/>
          <w:lang w:eastAsia="ja-JP"/>
        </w:rPr>
      </w:pPr>
      <w:r w:rsidRPr="00255E7F">
        <w:rPr>
          <w:sz w:val="20"/>
          <w:lang w:eastAsia="ja-JP"/>
        </w:rPr>
        <w:t>The gNB can schedule one transmission with CSIF = 1</w:t>
      </w:r>
      <w:r>
        <w:rPr>
          <w:sz w:val="20"/>
          <w:lang w:val="en-US" w:eastAsia="ja-JP"/>
        </w:rPr>
        <w:t>.</w:t>
      </w:r>
    </w:p>
    <w:p w14:paraId="27314D48" w14:textId="77777777" w:rsidR="00255E7F" w:rsidRDefault="00255E7F" w:rsidP="00255E7F">
      <w:pPr>
        <w:pStyle w:val="ListParagraph"/>
        <w:numPr>
          <w:ilvl w:val="0"/>
          <w:numId w:val="57"/>
        </w:numPr>
        <w:rPr>
          <w:sz w:val="20"/>
          <w:lang w:eastAsia="ja-JP"/>
        </w:rPr>
      </w:pPr>
      <w:r w:rsidRPr="00255E7F">
        <w:rPr>
          <w:sz w:val="20"/>
          <w:lang w:eastAsia="ja-JP"/>
        </w:rPr>
        <w:t>The gNB can send a dummy PDCCH with CSIF = 1 when the last PDSCH transmission is finished. This, however, consumes additional gNB resources.</w:t>
      </w:r>
    </w:p>
    <w:p w14:paraId="722E6D2B" w14:textId="0F68166F" w:rsidR="00337E60" w:rsidRPr="00255E7F" w:rsidRDefault="00255E7F" w:rsidP="00255E7F">
      <w:pPr>
        <w:pStyle w:val="ListParagraph"/>
        <w:numPr>
          <w:ilvl w:val="0"/>
          <w:numId w:val="57"/>
        </w:numPr>
        <w:rPr>
          <w:sz w:val="20"/>
          <w:lang w:eastAsia="ja-JP"/>
        </w:rPr>
      </w:pPr>
      <w:r w:rsidRPr="00255E7F">
        <w:rPr>
          <w:sz w:val="20"/>
          <w:lang w:eastAsia="ja-JP"/>
        </w:rPr>
        <w:t>The UE can be made to transition to CS-state if it does not detect CSIF = 0 for X slots.</w:t>
      </w:r>
    </w:p>
    <w:p w14:paraId="5460C099" w14:textId="73D356EB" w:rsidR="00DB6B8F" w:rsidRDefault="00DB6B8F" w:rsidP="00DB6B8F">
      <w:pPr>
        <w:rPr>
          <w:sz w:val="20"/>
          <w:lang w:eastAsia="ja-JP"/>
        </w:rPr>
      </w:pPr>
    </w:p>
    <w:p w14:paraId="7072600C" w14:textId="3C261872" w:rsidR="00337E60" w:rsidRDefault="00DF00D3" w:rsidP="00285D80">
      <w:pPr>
        <w:jc w:val="both"/>
        <w:rPr>
          <w:sz w:val="20"/>
          <w:lang w:eastAsia="ja-JP"/>
        </w:rPr>
      </w:pPr>
      <w:r>
        <w:rPr>
          <w:sz w:val="20"/>
          <w:lang w:eastAsia="ja-JP"/>
        </w:rPr>
        <w:t>O</w:t>
      </w:r>
      <w:r w:rsidR="00337E60" w:rsidRPr="00337E60">
        <w:rPr>
          <w:sz w:val="20"/>
          <w:lang w:eastAsia="ja-JP"/>
        </w:rPr>
        <w:t xml:space="preserve">ption 1 will cause an extra delay for the last PDSCH transmission. </w:t>
      </w:r>
      <w:r w:rsidR="005A6B5D">
        <w:rPr>
          <w:sz w:val="20"/>
          <w:lang w:eastAsia="ja-JP"/>
        </w:rPr>
        <w:t>O</w:t>
      </w:r>
      <w:r w:rsidR="00337E60" w:rsidRPr="00337E60">
        <w:rPr>
          <w:sz w:val="20"/>
          <w:lang w:eastAsia="ja-JP"/>
        </w:rPr>
        <w:t>ption 2, on the other hand, consumes additional gNB resources. Both of these are not favorable, in particular, for the case of the transmission is dominated by small but frequent transmission. Considering this, option 3 can be used. In addition, the fact that the UE can go to the CS-state by the absence of the CSIF = 0 for several slots also helps the UE as it implies that the CS-state is set as the default state</w:t>
      </w:r>
      <w:r w:rsidR="00285D80">
        <w:rPr>
          <w:sz w:val="20"/>
          <w:lang w:eastAsia="ja-JP"/>
        </w:rPr>
        <w:t>.</w:t>
      </w:r>
    </w:p>
    <w:p w14:paraId="21EE1123" w14:textId="77777777" w:rsidR="00DE193D" w:rsidRDefault="00DE193D" w:rsidP="00285D80">
      <w:pPr>
        <w:jc w:val="both"/>
        <w:rPr>
          <w:b/>
          <w:i/>
          <w:sz w:val="20"/>
          <w:u w:val="single"/>
          <w:lang w:eastAsia="ja-JP"/>
        </w:rPr>
      </w:pPr>
    </w:p>
    <w:p w14:paraId="36218ECC" w14:textId="5EA3B8BA" w:rsidR="00DE193D" w:rsidRPr="00665DD3" w:rsidRDefault="00DE193D" w:rsidP="00285D80">
      <w:pPr>
        <w:jc w:val="both"/>
        <w:rPr>
          <w:b/>
          <w:i/>
          <w:sz w:val="20"/>
          <w:u w:val="single"/>
          <w:lang w:eastAsia="ja-JP"/>
        </w:rPr>
      </w:pPr>
      <w:r w:rsidRPr="00DE193D">
        <w:rPr>
          <w:b/>
          <w:i/>
          <w:sz w:val="20"/>
          <w:u w:val="single"/>
          <w:lang w:eastAsia="ja-JP"/>
        </w:rPr>
        <w:t>Possible retransmission consideration</w:t>
      </w:r>
    </w:p>
    <w:p w14:paraId="26219C23" w14:textId="6DC7262B" w:rsidR="00285D80" w:rsidRDefault="00285D80" w:rsidP="00285D80">
      <w:pPr>
        <w:jc w:val="both"/>
        <w:rPr>
          <w:sz w:val="20"/>
          <w:lang w:eastAsia="ja-JP"/>
        </w:rPr>
      </w:pPr>
      <w:r w:rsidRPr="00285D80">
        <w:rPr>
          <w:sz w:val="20"/>
          <w:lang w:eastAsia="ja-JP"/>
        </w:rPr>
        <w:lastRenderedPageBreak/>
        <w:t>While going back to CS-state as soon as possible is advantageous from the power-saving perspective (e.g. set X = 1), it should be noted that it is not uncommon to have the UE not successfully decodes the PDSCH. Therefore, as shown in Fig. 2, it is important to ensure the last PDSCH is successfully decoded before UE goes to the CS-state and avoid excessive delay due to retransmission using CS-state. On other words, it will be more robust when the value of X is set to be large enough to cover HARQ retransmission delay and is configurable by gNB</w:t>
      </w:r>
      <w:r w:rsidR="00976575">
        <w:rPr>
          <w:sz w:val="20"/>
          <w:lang w:eastAsia="ja-JP"/>
        </w:rPr>
        <w:t xml:space="preserve"> via RRC</w:t>
      </w:r>
      <w:r>
        <w:rPr>
          <w:sz w:val="20"/>
          <w:lang w:eastAsia="ja-JP"/>
        </w:rPr>
        <w:t>.</w:t>
      </w:r>
    </w:p>
    <w:p w14:paraId="537D3C23" w14:textId="77777777" w:rsidR="00E1572E" w:rsidRDefault="00E1572E" w:rsidP="00285D80">
      <w:pPr>
        <w:jc w:val="both"/>
        <w:rPr>
          <w:sz w:val="20"/>
          <w:lang w:eastAsia="ja-JP"/>
        </w:rPr>
      </w:pPr>
    </w:p>
    <w:p w14:paraId="05867646" w14:textId="18C96E58" w:rsidR="00E1572E" w:rsidRDefault="00E1572E" w:rsidP="00285D80">
      <w:pPr>
        <w:jc w:val="both"/>
        <w:rPr>
          <w:sz w:val="20"/>
          <w:lang w:eastAsia="ja-JP"/>
        </w:rPr>
      </w:pPr>
      <w:r w:rsidRPr="00814646">
        <w:rPr>
          <w:noProof/>
          <w:color w:val="7030A0"/>
          <w:sz w:val="20"/>
          <w:lang w:val="en-GB" w:eastAsia="ja-JP"/>
        </w:rPr>
        <w:drawing>
          <wp:inline distT="0" distB="0" distL="0" distR="0" wp14:anchorId="07EB7D49" wp14:editId="70321BAE">
            <wp:extent cx="6120000" cy="1252136"/>
            <wp:effectExtent l="0" t="0" r="0" b="571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000" cy="1252136"/>
                    </a:xfrm>
                    <a:prstGeom prst="rect">
                      <a:avLst/>
                    </a:prstGeom>
                    <a:noFill/>
                  </pic:spPr>
                </pic:pic>
              </a:graphicData>
            </a:graphic>
          </wp:inline>
        </w:drawing>
      </w:r>
    </w:p>
    <w:p w14:paraId="029AE882" w14:textId="47BF4CBC" w:rsidR="007373C8" w:rsidRPr="003308BD" w:rsidRDefault="007373C8" w:rsidP="007373C8">
      <w:pPr>
        <w:jc w:val="center"/>
        <w:rPr>
          <w:sz w:val="20"/>
          <w:lang w:val="en-GB" w:eastAsia="ja-JP"/>
        </w:rPr>
      </w:pPr>
      <w:r w:rsidRPr="003308BD">
        <w:rPr>
          <w:b/>
          <w:sz w:val="20"/>
          <w:lang w:val="en-GB" w:eastAsia="ja-JP"/>
        </w:rPr>
        <w:t xml:space="preserve">Fig. 2. </w:t>
      </w:r>
      <w:r w:rsidRPr="003308BD">
        <w:rPr>
          <w:sz w:val="20"/>
          <w:lang w:val="en-GB" w:eastAsia="ja-JP"/>
        </w:rPr>
        <w:t>Excessive delay experience by last packet when switch to CS-state does not consider HARQ feedback.</w:t>
      </w:r>
    </w:p>
    <w:p w14:paraId="10EFAA75" w14:textId="556AFC08" w:rsidR="005427BF" w:rsidRDefault="005427BF" w:rsidP="007373C8">
      <w:pPr>
        <w:jc w:val="center"/>
        <w:rPr>
          <w:color w:val="7030A0"/>
          <w:sz w:val="20"/>
          <w:lang w:val="en-GB" w:eastAsia="ja-JP"/>
        </w:rPr>
      </w:pPr>
    </w:p>
    <w:p w14:paraId="04539B39" w14:textId="27349982" w:rsidR="005427BF" w:rsidRDefault="005427BF" w:rsidP="007373C8">
      <w:pPr>
        <w:jc w:val="center"/>
        <w:rPr>
          <w:sz w:val="20"/>
          <w:lang w:eastAsia="ja-JP"/>
        </w:rPr>
      </w:pPr>
      <w:r w:rsidRPr="00814646">
        <w:rPr>
          <w:noProof/>
          <w:color w:val="7030A0"/>
          <w:sz w:val="20"/>
          <w:lang w:val="en-GB" w:eastAsia="ja-JP"/>
        </w:rPr>
        <w:drawing>
          <wp:inline distT="0" distB="0" distL="0" distR="0" wp14:anchorId="5BD1243B" wp14:editId="0167C607">
            <wp:extent cx="6120000" cy="1446353"/>
            <wp:effectExtent l="0" t="0" r="0" b="190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000" cy="1446353"/>
                    </a:xfrm>
                    <a:prstGeom prst="rect">
                      <a:avLst/>
                    </a:prstGeom>
                    <a:noFill/>
                  </pic:spPr>
                </pic:pic>
              </a:graphicData>
            </a:graphic>
          </wp:inline>
        </w:drawing>
      </w:r>
    </w:p>
    <w:p w14:paraId="27F1E0B4" w14:textId="201601E9" w:rsidR="005427BF" w:rsidRDefault="005427BF" w:rsidP="007373C8">
      <w:pPr>
        <w:jc w:val="center"/>
        <w:rPr>
          <w:sz w:val="20"/>
          <w:lang w:val="en-GB" w:eastAsia="ja-JP"/>
        </w:rPr>
      </w:pPr>
      <w:r w:rsidRPr="003308BD">
        <w:rPr>
          <w:b/>
          <w:sz w:val="20"/>
          <w:lang w:val="en-GB" w:eastAsia="ja-JP"/>
        </w:rPr>
        <w:t xml:space="preserve">Fig. 3. </w:t>
      </w:r>
      <w:r w:rsidRPr="003308BD">
        <w:rPr>
          <w:sz w:val="20"/>
          <w:lang w:val="en-GB" w:eastAsia="ja-JP"/>
        </w:rPr>
        <w:t>Transition from SS-state to CS-state taking HARQ feedback into account.</w:t>
      </w:r>
    </w:p>
    <w:p w14:paraId="60E15BFC" w14:textId="77777777" w:rsidR="006809FF" w:rsidRDefault="006809FF" w:rsidP="000E5766">
      <w:pPr>
        <w:jc w:val="both"/>
        <w:rPr>
          <w:sz w:val="20"/>
          <w:lang w:val="en-GB" w:eastAsia="ja-JP"/>
        </w:rPr>
      </w:pPr>
    </w:p>
    <w:p w14:paraId="6949BBD1" w14:textId="04E4A127" w:rsidR="00BA325B" w:rsidRDefault="00BA325B" w:rsidP="000E5766">
      <w:pPr>
        <w:jc w:val="both"/>
        <w:rPr>
          <w:sz w:val="20"/>
          <w:lang w:val="en-GB" w:eastAsia="ja-JP"/>
        </w:rPr>
      </w:pPr>
      <w:r>
        <w:rPr>
          <w:sz w:val="20"/>
          <w:lang w:val="en-GB" w:eastAsia="ja-JP"/>
        </w:rPr>
        <w:t>Using only CSIF as a possible source to initiate the transition from SS-state to CS-state</w:t>
      </w:r>
      <w:r w:rsidR="00F3365F">
        <w:rPr>
          <w:sz w:val="20"/>
          <w:lang w:val="en-GB" w:eastAsia="ja-JP"/>
        </w:rPr>
        <w:t>, it will be</w:t>
      </w:r>
      <w:r w:rsidR="00F82271">
        <w:rPr>
          <w:sz w:val="20"/>
          <w:lang w:val="en-GB" w:eastAsia="ja-JP"/>
        </w:rPr>
        <w:t xml:space="preserve"> hard to the NW </w:t>
      </w:r>
      <w:r w:rsidR="00267154">
        <w:rPr>
          <w:sz w:val="20"/>
          <w:lang w:val="en-GB" w:eastAsia="ja-JP"/>
        </w:rPr>
        <w:t xml:space="preserve">to </w:t>
      </w:r>
      <w:r w:rsidR="001413D2">
        <w:rPr>
          <w:sz w:val="20"/>
          <w:lang w:val="en-GB" w:eastAsia="ja-JP"/>
        </w:rPr>
        <w:t>schedule the retransmission using same-slot scheduling.</w:t>
      </w:r>
      <w:r w:rsidR="004624AC">
        <w:rPr>
          <w:sz w:val="20"/>
          <w:lang w:val="en-GB" w:eastAsia="ja-JP"/>
        </w:rPr>
        <w:t xml:space="preserve"> Using </w:t>
      </w:r>
      <w:r w:rsidR="00622817">
        <w:rPr>
          <w:sz w:val="20"/>
          <w:lang w:val="en-GB" w:eastAsia="ja-JP"/>
        </w:rPr>
        <w:t xml:space="preserve">the formula </w:t>
      </w:r>
      <w:r w:rsidR="00EB582C">
        <w:rPr>
          <w:sz w:val="20"/>
          <w:lang w:val="en-GB" w:eastAsia="ja-JP"/>
        </w:rPr>
        <w:t xml:space="preserve">in the previous agreement, for example, the minK0 application delay from SS-state to CS-state will </w:t>
      </w:r>
      <w:r w:rsidR="00B66A0C">
        <w:rPr>
          <w:sz w:val="20"/>
          <w:lang w:val="en-GB" w:eastAsia="ja-JP"/>
        </w:rPr>
        <w:t>be only no more than 2 slots</w:t>
      </w:r>
      <w:r w:rsidR="00395A6F">
        <w:rPr>
          <w:sz w:val="20"/>
          <w:lang w:val="en-GB" w:eastAsia="ja-JP"/>
        </w:rPr>
        <w:t xml:space="preserve"> from the scheduling PDCCH slot</w:t>
      </w:r>
      <w:r w:rsidR="00E80335">
        <w:rPr>
          <w:sz w:val="20"/>
          <w:lang w:val="en-GB" w:eastAsia="ja-JP"/>
        </w:rPr>
        <w:t xml:space="preserve"> which could not cover the possible retransmission.</w:t>
      </w:r>
      <w:r w:rsidR="005D33F5">
        <w:rPr>
          <w:sz w:val="20"/>
          <w:lang w:val="en-GB" w:eastAsia="ja-JP"/>
        </w:rPr>
        <w:t xml:space="preserve"> Thus, the retransmission can only be conducted in the CS-mode.</w:t>
      </w:r>
    </w:p>
    <w:p w14:paraId="52070AD1" w14:textId="60B90691" w:rsidR="005D33F5" w:rsidRDefault="00FD3F71" w:rsidP="000E5766">
      <w:pPr>
        <w:jc w:val="both"/>
        <w:rPr>
          <w:sz w:val="20"/>
          <w:lang w:val="en-GB" w:eastAsia="ja-JP"/>
        </w:rPr>
      </w:pPr>
      <w:r>
        <w:rPr>
          <w:sz w:val="20"/>
          <w:lang w:val="en-GB" w:eastAsia="ja-JP"/>
        </w:rPr>
        <w:t xml:space="preserve">In addition to that, there might be </w:t>
      </w:r>
      <w:r w:rsidR="00E13A1E">
        <w:rPr>
          <w:sz w:val="20"/>
          <w:lang w:val="en-GB" w:eastAsia="ja-JP"/>
        </w:rPr>
        <w:t>additional data comes during th</w:t>
      </w:r>
      <w:r w:rsidR="001054CC">
        <w:rPr>
          <w:sz w:val="20"/>
          <w:lang w:val="en-GB" w:eastAsia="ja-JP"/>
        </w:rPr>
        <w:t>e</w:t>
      </w:r>
      <w:r w:rsidR="00CE4EBB">
        <w:rPr>
          <w:sz w:val="20"/>
          <w:lang w:val="en-GB" w:eastAsia="ja-JP"/>
        </w:rPr>
        <w:t xml:space="preserve"> 1-2 slots application delay. In this case, the NW also needs to schedule the </w:t>
      </w:r>
      <w:r w:rsidR="00604697">
        <w:rPr>
          <w:sz w:val="20"/>
          <w:lang w:val="en-GB" w:eastAsia="ja-JP"/>
        </w:rPr>
        <w:t>UE with cross-slot scheduling which leads to unnecessary delay.</w:t>
      </w:r>
    </w:p>
    <w:p w14:paraId="641CEF08" w14:textId="365DCBFB" w:rsidR="00A51B77" w:rsidRDefault="00D930C9" w:rsidP="000E5766">
      <w:pPr>
        <w:jc w:val="both"/>
        <w:rPr>
          <w:sz w:val="20"/>
          <w:szCs w:val="20"/>
        </w:rPr>
      </w:pPr>
      <w:r w:rsidRPr="002915CA">
        <w:rPr>
          <w:sz w:val="20"/>
          <w:szCs w:val="20"/>
          <w:lang w:val="en-GB" w:eastAsia="ja-JP"/>
        </w:rPr>
        <w:t>Using option 3</w:t>
      </w:r>
      <w:r w:rsidR="00295853" w:rsidRPr="002915CA">
        <w:rPr>
          <w:sz w:val="20"/>
          <w:szCs w:val="20"/>
          <w:lang w:val="en-GB" w:eastAsia="ja-JP"/>
        </w:rPr>
        <w:t>, th</w:t>
      </w:r>
      <w:r w:rsidR="003B074D" w:rsidRPr="002915CA">
        <w:rPr>
          <w:sz w:val="20"/>
          <w:szCs w:val="20"/>
          <w:lang w:val="en-GB" w:eastAsia="ja-JP"/>
        </w:rPr>
        <w:t xml:space="preserve">is </w:t>
      </w:r>
      <w:r w:rsidR="00F8687B" w:rsidRPr="002915CA">
        <w:rPr>
          <w:sz w:val="20"/>
          <w:szCs w:val="20"/>
          <w:lang w:val="en-GB" w:eastAsia="ja-JP"/>
        </w:rPr>
        <w:t xml:space="preserve">can be handled straightforwardly, i.e. to set the value of </w:t>
      </w:r>
      <w:r w:rsidR="00F8687B" w:rsidRPr="002915CA">
        <w:rPr>
          <w:i/>
          <w:sz w:val="20"/>
          <w:szCs w:val="20"/>
          <w:lang w:val="en-GB" w:eastAsia="ja-JP"/>
        </w:rPr>
        <w:t xml:space="preserve">X </w:t>
      </w:r>
      <w:r w:rsidR="00F8687B" w:rsidRPr="002915CA">
        <w:rPr>
          <w:sz w:val="20"/>
          <w:szCs w:val="20"/>
          <w:lang w:val="en-GB" w:eastAsia="ja-JP"/>
        </w:rPr>
        <w:t>to be large enough to cover possible retransmission. In addition, if additional data comes during the</w:t>
      </w:r>
      <w:r w:rsidR="000E6F68" w:rsidRPr="002915CA">
        <w:rPr>
          <w:sz w:val="20"/>
          <w:szCs w:val="20"/>
          <w:lang w:val="en-GB" w:eastAsia="ja-JP"/>
        </w:rPr>
        <w:t xml:space="preserve"> inside the </w:t>
      </w:r>
      <w:r w:rsidR="000E6F68" w:rsidRPr="002915CA">
        <w:rPr>
          <w:i/>
          <w:sz w:val="20"/>
          <w:szCs w:val="20"/>
          <w:lang w:val="en-GB" w:eastAsia="ja-JP"/>
        </w:rPr>
        <w:t>n</w:t>
      </w:r>
      <w:r w:rsidR="000E6F68" w:rsidRPr="002915CA">
        <w:rPr>
          <w:sz w:val="20"/>
          <w:szCs w:val="20"/>
          <w:lang w:val="en-GB" w:eastAsia="ja-JP"/>
        </w:rPr>
        <w:t xml:space="preserve"> to </w:t>
      </w:r>
      <w:r w:rsidR="000E6F68" w:rsidRPr="002915CA">
        <w:rPr>
          <w:i/>
          <w:sz w:val="20"/>
          <w:szCs w:val="20"/>
          <w:lang w:val="en-GB" w:eastAsia="ja-JP"/>
        </w:rPr>
        <w:t>n</w:t>
      </w:r>
      <w:r w:rsidR="000E6F68" w:rsidRPr="002915CA">
        <w:rPr>
          <w:sz w:val="20"/>
          <w:szCs w:val="20"/>
          <w:lang w:val="en-GB" w:eastAsia="ja-JP"/>
        </w:rPr>
        <w:t xml:space="preserve"> + </w:t>
      </w:r>
      <w:r w:rsidR="000E6F68" w:rsidRPr="002915CA">
        <w:rPr>
          <w:i/>
          <w:sz w:val="20"/>
          <w:szCs w:val="20"/>
          <w:lang w:val="en-GB" w:eastAsia="ja-JP"/>
        </w:rPr>
        <w:t>X</w:t>
      </w:r>
      <w:r w:rsidR="000E6F68" w:rsidRPr="002915CA">
        <w:rPr>
          <w:sz w:val="20"/>
          <w:szCs w:val="20"/>
        </w:rPr>
        <w:t xml:space="preserve"> slot, the </w:t>
      </w:r>
      <w:r w:rsidR="002915CA" w:rsidRPr="002915CA">
        <w:rPr>
          <w:sz w:val="20"/>
          <w:szCs w:val="20"/>
        </w:rPr>
        <w:t xml:space="preserve">NW and the UE could </w:t>
      </w:r>
      <w:r w:rsidR="002915CA">
        <w:rPr>
          <w:sz w:val="20"/>
          <w:szCs w:val="20"/>
        </w:rPr>
        <w:t>restart the application delay</w:t>
      </w:r>
      <w:r w:rsidR="00CC293B">
        <w:rPr>
          <w:sz w:val="20"/>
          <w:szCs w:val="20"/>
        </w:rPr>
        <w:t xml:space="preserve"> by sending the data with scheduling DCI containing CSIF = 0.</w:t>
      </w:r>
      <w:r w:rsidR="004214D3">
        <w:rPr>
          <w:sz w:val="20"/>
          <w:szCs w:val="20"/>
        </w:rPr>
        <w:t xml:space="preserve"> Considering this, it will be beneficial if transition to CS-state initiated by the absence of scheduling DCI </w:t>
      </w:r>
      <w:r w:rsidR="008E0FBE">
        <w:rPr>
          <w:sz w:val="20"/>
          <w:szCs w:val="20"/>
        </w:rPr>
        <w:t xml:space="preserve">for </w:t>
      </w:r>
      <w:r w:rsidR="008E0FBE">
        <w:rPr>
          <w:i/>
          <w:sz w:val="20"/>
          <w:szCs w:val="20"/>
        </w:rPr>
        <w:t>X</w:t>
      </w:r>
      <w:r w:rsidR="008E0FBE">
        <w:rPr>
          <w:sz w:val="20"/>
          <w:szCs w:val="20"/>
        </w:rPr>
        <w:t xml:space="preserve"> consecutive slots can be supported.</w:t>
      </w:r>
    </w:p>
    <w:p w14:paraId="4767369F" w14:textId="3F69F954" w:rsidR="006B6AC2" w:rsidRPr="006B6AC2" w:rsidRDefault="006B6AC2" w:rsidP="006B6AC2">
      <w:pPr>
        <w:jc w:val="both"/>
        <w:rPr>
          <w:sz w:val="20"/>
          <w:szCs w:val="20"/>
          <w:lang w:val="en-GB" w:eastAsia="ja-JP"/>
        </w:rPr>
      </w:pPr>
      <w:bookmarkStart w:id="4" w:name="_Toc21115131"/>
      <w:r w:rsidRPr="006B6AC2">
        <w:rPr>
          <w:sz w:val="20"/>
          <w:szCs w:val="20"/>
          <w:lang w:val="en-GB" w:eastAsia="ja-JP"/>
        </w:rPr>
        <w:t>When UE is in same-slot (SS) state in slot n, the UE continues to be in SS state for at least X more slot unless DCI with CSIF = 1 is detected.</w:t>
      </w:r>
      <w:bookmarkStart w:id="5" w:name="_Toc21115132"/>
      <w:bookmarkEnd w:id="4"/>
      <w:r>
        <w:rPr>
          <w:sz w:val="20"/>
          <w:szCs w:val="20"/>
          <w:lang w:val="en-GB" w:eastAsia="ja-JP"/>
        </w:rPr>
        <w:t xml:space="preserve"> </w:t>
      </w:r>
      <w:r w:rsidRPr="006B6AC2">
        <w:rPr>
          <w:sz w:val="20"/>
          <w:szCs w:val="20"/>
          <w:lang w:val="en-GB" w:eastAsia="ja-JP"/>
        </w:rPr>
        <w:t>UE transitions to CS state if does not detect a DCI with CSIF = 0 for X slots.</w:t>
      </w:r>
      <w:bookmarkEnd w:id="5"/>
    </w:p>
    <w:p w14:paraId="34456568" w14:textId="741CA3C5" w:rsidR="00703226" w:rsidRPr="00B70A53" w:rsidRDefault="002E76C1" w:rsidP="00703226">
      <w:pPr>
        <w:pStyle w:val="Proposal"/>
        <w:numPr>
          <w:ilvl w:val="0"/>
          <w:numId w:val="3"/>
        </w:numPr>
        <w:tabs>
          <w:tab w:val="clear" w:pos="1304"/>
        </w:tabs>
        <w:ind w:left="1701" w:hanging="1701"/>
        <w:rPr>
          <w:rFonts w:cs="Arial"/>
          <w:sz w:val="20"/>
        </w:rPr>
      </w:pPr>
      <w:bookmarkStart w:id="6" w:name="_Toc24137495"/>
      <w:r w:rsidRPr="002E76C1">
        <w:rPr>
          <w:rFonts w:cs="Arial"/>
          <w:sz w:val="20"/>
        </w:rPr>
        <w:t>When UE is in same-slot (SS) state in slot n, the UE continues to be in SS state for at least X more slot unless DCI with CSIF = 1 is detected. UE transitions to CS state if does not detect a DCI with CSIF = 0 for X slots.</w:t>
      </w:r>
      <w:r>
        <w:rPr>
          <w:rFonts w:cs="Arial"/>
          <w:sz w:val="20"/>
        </w:rPr>
        <w:t xml:space="preserve"> </w:t>
      </w:r>
      <w:r w:rsidR="00647719">
        <w:rPr>
          <w:rFonts w:cs="Arial"/>
          <w:sz w:val="20"/>
        </w:rPr>
        <w:t xml:space="preserve">The value of </w:t>
      </w:r>
      <w:r w:rsidR="00647719">
        <w:rPr>
          <w:rFonts w:cs="Arial"/>
          <w:i/>
          <w:sz w:val="20"/>
        </w:rPr>
        <w:t>X</w:t>
      </w:r>
      <w:r w:rsidR="00647719">
        <w:rPr>
          <w:rFonts w:cs="Arial"/>
          <w:sz w:val="20"/>
        </w:rPr>
        <w:t xml:space="preserve"> is configurable</w:t>
      </w:r>
      <w:r w:rsidR="00B84D53">
        <w:rPr>
          <w:rFonts w:cs="Arial"/>
          <w:sz w:val="20"/>
        </w:rPr>
        <w:t xml:space="preserve"> in RRC</w:t>
      </w:r>
      <w:r w:rsidR="003B7CC2">
        <w:rPr>
          <w:rFonts w:cs="Arial"/>
          <w:sz w:val="20"/>
        </w:rPr>
        <w:t xml:space="preserve"> and </w:t>
      </w:r>
      <w:r w:rsidR="00615C7D">
        <w:rPr>
          <w:rFonts w:cs="Arial"/>
          <w:sz w:val="20"/>
        </w:rPr>
        <w:t xml:space="preserve">could be set to </w:t>
      </w:r>
      <w:r w:rsidR="003B7CC2">
        <w:rPr>
          <w:rFonts w:cs="Arial"/>
          <w:sz w:val="20"/>
        </w:rPr>
        <w:t>cover the HARQ retransmission procedure.</w:t>
      </w:r>
      <w:bookmarkEnd w:id="6"/>
    </w:p>
    <w:p w14:paraId="2B9D0D6C" w14:textId="2605B36D" w:rsidR="007B1600" w:rsidRPr="008851DB" w:rsidRDefault="006E6137" w:rsidP="008851DB">
      <w:pPr>
        <w:pStyle w:val="Heading3"/>
        <w:rPr>
          <w:i/>
          <w:sz w:val="24"/>
          <w:lang w:val="en-US"/>
        </w:rPr>
      </w:pPr>
      <w:r w:rsidRPr="007C11CD">
        <w:rPr>
          <w:sz w:val="24"/>
          <w:lang w:val="en-US"/>
        </w:rPr>
        <w:lastRenderedPageBreak/>
        <w:t>2.</w:t>
      </w:r>
      <w:r>
        <w:rPr>
          <w:sz w:val="24"/>
          <w:lang w:val="en-US"/>
        </w:rPr>
        <w:t>3.1</w:t>
      </w:r>
      <w:r w:rsidRPr="007C11CD">
        <w:rPr>
          <w:sz w:val="24"/>
          <w:lang w:val="en-US"/>
        </w:rPr>
        <w:tab/>
      </w:r>
      <w:r>
        <w:rPr>
          <w:sz w:val="24"/>
          <w:lang w:val="en-US"/>
        </w:rPr>
        <w:t>Simultaneous minK0 transition and BWP-switch</w:t>
      </w:r>
    </w:p>
    <w:p w14:paraId="2937664A" w14:textId="77777777" w:rsidR="00E353F2" w:rsidRDefault="009A47D2" w:rsidP="00040802">
      <w:pPr>
        <w:jc w:val="both"/>
        <w:rPr>
          <w:sz w:val="20"/>
          <w:lang w:eastAsia="ja-JP"/>
        </w:rPr>
      </w:pPr>
      <w:r w:rsidRPr="00C55098">
        <w:rPr>
          <w:sz w:val="20"/>
          <w:lang w:eastAsia="ja-JP"/>
        </w:rPr>
        <w:t>BWP-switch (except due to the BWP-timer expiration) is initiated by the DCI in the scheduling PDCCH.</w:t>
      </w:r>
      <w:r w:rsidR="008851DB" w:rsidRPr="00C55098">
        <w:rPr>
          <w:sz w:val="20"/>
          <w:lang w:eastAsia="ja-JP"/>
        </w:rPr>
        <w:t xml:space="preserve"> For the case of the active BWP is configured with minK0, the DCI also contains the CSIF</w:t>
      </w:r>
      <w:r w:rsidR="00641079">
        <w:rPr>
          <w:sz w:val="20"/>
          <w:lang w:eastAsia="ja-JP"/>
        </w:rPr>
        <w:t xml:space="preserve">. </w:t>
      </w:r>
      <w:r w:rsidR="00E353F2">
        <w:rPr>
          <w:sz w:val="20"/>
          <w:lang w:eastAsia="ja-JP"/>
        </w:rPr>
        <w:t xml:space="preserve">The state in which the target BWP starts (cross-slot or same-slot) needs to be determined. </w:t>
      </w:r>
    </w:p>
    <w:p w14:paraId="0FB6B51B" w14:textId="2B64C3EE" w:rsidR="009A47D2" w:rsidRDefault="00E353F2" w:rsidP="00040802">
      <w:pPr>
        <w:jc w:val="both"/>
        <w:rPr>
          <w:sz w:val="20"/>
          <w:lang w:eastAsia="ja-JP"/>
        </w:rPr>
      </w:pPr>
      <w:r>
        <w:rPr>
          <w:sz w:val="20"/>
          <w:lang w:eastAsia="ja-JP"/>
        </w:rPr>
        <w:t>I</w:t>
      </w:r>
      <w:r w:rsidR="00040E88" w:rsidRPr="00C55098">
        <w:rPr>
          <w:sz w:val="20"/>
          <w:lang w:eastAsia="ja-JP"/>
        </w:rPr>
        <w:t xml:space="preserve">t is possible that the UE does not receive PDCCH in the first slot </w:t>
      </w:r>
      <w:r w:rsidR="00680E64" w:rsidRPr="00C55098">
        <w:rPr>
          <w:sz w:val="20"/>
          <w:lang w:eastAsia="ja-JP"/>
        </w:rPr>
        <w:t xml:space="preserve">of the target BWP </w:t>
      </w:r>
      <w:r w:rsidR="00040E88" w:rsidRPr="00C55098">
        <w:rPr>
          <w:sz w:val="20"/>
          <w:lang w:eastAsia="ja-JP"/>
        </w:rPr>
        <w:t>after BWP-switch. In this case, the UE</w:t>
      </w:r>
      <w:r w:rsidR="008851DB" w:rsidRPr="00C55098">
        <w:rPr>
          <w:sz w:val="20"/>
          <w:lang w:eastAsia="ja-JP"/>
        </w:rPr>
        <w:t xml:space="preserve"> </w:t>
      </w:r>
      <w:r>
        <w:rPr>
          <w:sz w:val="20"/>
          <w:lang w:eastAsia="ja-JP"/>
        </w:rPr>
        <w:t>can</w:t>
      </w:r>
      <w:r w:rsidR="009A47D2" w:rsidRPr="00C55098">
        <w:rPr>
          <w:sz w:val="20"/>
          <w:lang w:eastAsia="ja-JP"/>
        </w:rPr>
        <w:t xml:space="preserve"> assume that the UE has detected a DCI with CSIF in the first slot with a value equal to the CSIF in </w:t>
      </w:r>
      <w:r>
        <w:rPr>
          <w:sz w:val="20"/>
          <w:lang w:eastAsia="ja-JP"/>
        </w:rPr>
        <w:t xml:space="preserve">most recent </w:t>
      </w:r>
      <w:r w:rsidR="009A47D2" w:rsidRPr="00C55098">
        <w:rPr>
          <w:sz w:val="20"/>
          <w:lang w:eastAsia="ja-JP"/>
        </w:rPr>
        <w:t>DCI of the source-BWP.</w:t>
      </w:r>
      <w:r>
        <w:rPr>
          <w:sz w:val="20"/>
          <w:lang w:eastAsia="ja-JP"/>
        </w:rPr>
        <w:t xml:space="preserve"> Alternately the UE can assume it starts in a default state </w:t>
      </w:r>
      <w:r w:rsidR="002E76C1">
        <w:rPr>
          <w:sz w:val="20"/>
          <w:lang w:eastAsia="ja-JP"/>
        </w:rPr>
        <w:t xml:space="preserve"> such as </w:t>
      </w:r>
      <w:r>
        <w:rPr>
          <w:sz w:val="20"/>
          <w:lang w:eastAsia="ja-JP"/>
        </w:rPr>
        <w:t>CS-state</w:t>
      </w:r>
      <w:r w:rsidR="002E76C1">
        <w:rPr>
          <w:sz w:val="20"/>
          <w:lang w:eastAsia="ja-JP"/>
        </w:rPr>
        <w:t xml:space="preserve"> if min K0 is configured for the target BWP, or same-slot state if no min K0 is configured for the target BWP.</w:t>
      </w:r>
    </w:p>
    <w:p w14:paraId="18EB2C0D" w14:textId="45682225" w:rsidR="00090F30" w:rsidRPr="00E353F2" w:rsidRDefault="009316FE" w:rsidP="00040802">
      <w:pPr>
        <w:pStyle w:val="Proposal"/>
        <w:numPr>
          <w:ilvl w:val="0"/>
          <w:numId w:val="3"/>
        </w:numPr>
        <w:tabs>
          <w:tab w:val="clear" w:pos="1304"/>
        </w:tabs>
        <w:ind w:left="1701" w:hanging="1701"/>
        <w:rPr>
          <w:rFonts w:cs="Arial"/>
          <w:sz w:val="20"/>
        </w:rPr>
      </w:pPr>
      <w:bookmarkStart w:id="7" w:name="_Toc24137496"/>
      <w:r w:rsidRPr="00E353F2">
        <w:rPr>
          <w:rFonts w:cs="Arial"/>
          <w:sz w:val="20"/>
        </w:rPr>
        <w:t xml:space="preserve">If UE does not detect PDCCH in the first slot after BWP-switch, the UE could assume that the UE has detected a DCI with CSIF value equal to the CSIF value in </w:t>
      </w:r>
      <w:r w:rsidR="002E76C1">
        <w:rPr>
          <w:rFonts w:cs="Arial"/>
          <w:sz w:val="20"/>
        </w:rPr>
        <w:t xml:space="preserve">most recent </w:t>
      </w:r>
      <w:r w:rsidRPr="00E353F2">
        <w:rPr>
          <w:rFonts w:cs="Arial"/>
          <w:sz w:val="20"/>
        </w:rPr>
        <w:t>DCI of the source-BWP</w:t>
      </w:r>
      <w:r w:rsidR="00134E50">
        <w:rPr>
          <w:rFonts w:cs="Arial"/>
          <w:sz w:val="20"/>
        </w:rPr>
        <w:t xml:space="preserve"> containing the BWP switching command</w:t>
      </w:r>
      <w:r w:rsidR="00C43A91" w:rsidRPr="00E353F2">
        <w:rPr>
          <w:rFonts w:cs="Arial"/>
          <w:sz w:val="20"/>
        </w:rPr>
        <w:t>.</w:t>
      </w:r>
      <w:bookmarkEnd w:id="7"/>
    </w:p>
    <w:p w14:paraId="412C4D37" w14:textId="72699066" w:rsidR="00C43A91" w:rsidRDefault="00090F30" w:rsidP="00040802">
      <w:pPr>
        <w:jc w:val="both"/>
        <w:rPr>
          <w:sz w:val="20"/>
          <w:lang w:eastAsia="ja-JP"/>
        </w:rPr>
      </w:pPr>
      <w:r>
        <w:rPr>
          <w:sz w:val="20"/>
          <w:lang w:eastAsia="ja-JP"/>
        </w:rPr>
        <w:t xml:space="preserve">In addition to the above, it </w:t>
      </w:r>
      <w:r w:rsidR="001D5F96">
        <w:rPr>
          <w:sz w:val="20"/>
          <w:lang w:eastAsia="ja-JP"/>
        </w:rPr>
        <w:t xml:space="preserve">also needs to be kept in mind that the power-saving advantage of CS feature is </w:t>
      </w:r>
      <w:r w:rsidR="006E73FA">
        <w:rPr>
          <w:sz w:val="20"/>
          <w:lang w:eastAsia="ja-JP"/>
        </w:rPr>
        <w:t>the avoidance of PDSCH buffering. While, in some</w:t>
      </w:r>
      <w:r w:rsidR="005F067A">
        <w:rPr>
          <w:sz w:val="20"/>
          <w:lang w:eastAsia="ja-JP"/>
        </w:rPr>
        <w:t xml:space="preserve"> cases</w:t>
      </w:r>
      <w:r w:rsidR="006E73FA">
        <w:rPr>
          <w:sz w:val="20"/>
          <w:lang w:eastAsia="ja-JP"/>
        </w:rPr>
        <w:t xml:space="preserve">, </w:t>
      </w:r>
      <w:r w:rsidR="005F067A">
        <w:rPr>
          <w:sz w:val="20"/>
          <w:lang w:eastAsia="ja-JP"/>
        </w:rPr>
        <w:t xml:space="preserve">it can allow </w:t>
      </w:r>
      <w:r w:rsidR="006E73FA">
        <w:rPr>
          <w:sz w:val="20"/>
          <w:lang w:eastAsia="ja-JP"/>
        </w:rPr>
        <w:t>relax</w:t>
      </w:r>
      <w:r w:rsidR="005F067A">
        <w:rPr>
          <w:sz w:val="20"/>
          <w:lang w:eastAsia="ja-JP"/>
        </w:rPr>
        <w:t>ed</w:t>
      </w:r>
      <w:r w:rsidR="006E73FA">
        <w:rPr>
          <w:sz w:val="20"/>
          <w:lang w:eastAsia="ja-JP"/>
        </w:rPr>
        <w:t xml:space="preserve"> </w:t>
      </w:r>
      <w:r w:rsidR="00C74040">
        <w:rPr>
          <w:sz w:val="20"/>
          <w:lang w:eastAsia="ja-JP"/>
        </w:rPr>
        <w:t xml:space="preserve">PDCCH decoding, it should not </w:t>
      </w:r>
      <w:r w:rsidR="005F067A">
        <w:rPr>
          <w:sz w:val="20"/>
          <w:lang w:eastAsia="ja-JP"/>
        </w:rPr>
        <w:t>impact</w:t>
      </w:r>
      <w:r w:rsidR="002C1ADA">
        <w:rPr>
          <w:sz w:val="20"/>
          <w:lang w:eastAsia="ja-JP"/>
        </w:rPr>
        <w:t xml:space="preserve"> other functionalities, e.g. BWP-switch.</w:t>
      </w:r>
      <w:r w:rsidR="00B172DF">
        <w:rPr>
          <w:sz w:val="20"/>
          <w:lang w:eastAsia="ja-JP"/>
        </w:rPr>
        <w:t xml:space="preserve"> Even when the UE suggests and NW configures a relatively large minK0 value, however, </w:t>
      </w:r>
      <w:r w:rsidR="00EE1825">
        <w:rPr>
          <w:sz w:val="20"/>
          <w:lang w:eastAsia="ja-JP"/>
        </w:rPr>
        <w:t xml:space="preserve">the UE </w:t>
      </w:r>
      <w:r w:rsidR="005F067A">
        <w:rPr>
          <w:sz w:val="20"/>
          <w:lang w:eastAsia="ja-JP"/>
        </w:rPr>
        <w:t xml:space="preserve">should </w:t>
      </w:r>
      <w:r w:rsidR="00EE1825">
        <w:rPr>
          <w:sz w:val="20"/>
          <w:lang w:eastAsia="ja-JP"/>
        </w:rPr>
        <w:t>be ready for BWP-switch</w:t>
      </w:r>
      <w:r w:rsidR="005F067A">
        <w:rPr>
          <w:sz w:val="20"/>
          <w:lang w:eastAsia="ja-JP"/>
        </w:rPr>
        <w:t xml:space="preserve"> as per current requirements</w:t>
      </w:r>
      <w:r w:rsidR="00EE1825">
        <w:rPr>
          <w:sz w:val="20"/>
          <w:lang w:eastAsia="ja-JP"/>
        </w:rPr>
        <w:t xml:space="preserve">, and thus, finish the PDCCH decoding </w:t>
      </w:r>
      <w:r w:rsidR="0048620D">
        <w:rPr>
          <w:sz w:val="20"/>
          <w:lang w:eastAsia="ja-JP"/>
        </w:rPr>
        <w:t xml:space="preserve">and </w:t>
      </w:r>
      <w:r w:rsidR="005F067A">
        <w:rPr>
          <w:sz w:val="20"/>
          <w:lang w:eastAsia="ja-JP"/>
        </w:rPr>
        <w:t>switch</w:t>
      </w:r>
      <w:r w:rsidR="0048620D">
        <w:rPr>
          <w:sz w:val="20"/>
          <w:lang w:eastAsia="ja-JP"/>
        </w:rPr>
        <w:t xml:space="preserve"> </w:t>
      </w:r>
      <w:r w:rsidR="005F067A">
        <w:rPr>
          <w:sz w:val="20"/>
          <w:lang w:eastAsia="ja-JP"/>
        </w:rPr>
        <w:t xml:space="preserve">to </w:t>
      </w:r>
      <w:r w:rsidR="0048620D">
        <w:rPr>
          <w:sz w:val="20"/>
          <w:lang w:eastAsia="ja-JP"/>
        </w:rPr>
        <w:t xml:space="preserve">the new BWP </w:t>
      </w:r>
      <w:r w:rsidR="005F067A">
        <w:rPr>
          <w:sz w:val="20"/>
          <w:lang w:eastAsia="ja-JP"/>
        </w:rPr>
        <w:t>according to</w:t>
      </w:r>
      <w:r w:rsidR="0048620D">
        <w:rPr>
          <w:sz w:val="20"/>
          <w:lang w:eastAsia="ja-JP"/>
        </w:rPr>
        <w:t xml:space="preserve"> BWP-switch time</w:t>
      </w:r>
      <w:r w:rsidR="005F067A">
        <w:rPr>
          <w:sz w:val="20"/>
          <w:lang w:eastAsia="ja-JP"/>
        </w:rPr>
        <w:t xml:space="preserve"> delay</w:t>
      </w:r>
      <w:r w:rsidR="0048620D">
        <w:rPr>
          <w:sz w:val="20"/>
          <w:lang w:eastAsia="ja-JP"/>
        </w:rPr>
        <w:t>.</w:t>
      </w:r>
      <w:r w:rsidR="005F067A">
        <w:rPr>
          <w:sz w:val="20"/>
          <w:lang w:eastAsia="ja-JP"/>
        </w:rPr>
        <w:t xml:space="preserve"> It can be considered whether the PDSCH gap allowed by current min K0 in current BWP also applies to the gap between PDCCH and a corresponding PDSCH in new BWP.</w:t>
      </w:r>
    </w:p>
    <w:p w14:paraId="480A929E" w14:textId="685F0D4F" w:rsidR="00053A83" w:rsidRPr="005F067A" w:rsidRDefault="00476D41" w:rsidP="00040802">
      <w:pPr>
        <w:pStyle w:val="Proposal"/>
        <w:numPr>
          <w:ilvl w:val="0"/>
          <w:numId w:val="3"/>
        </w:numPr>
        <w:tabs>
          <w:tab w:val="clear" w:pos="1304"/>
        </w:tabs>
        <w:ind w:left="1701" w:hanging="1701"/>
        <w:rPr>
          <w:rFonts w:cs="Arial"/>
          <w:sz w:val="20"/>
        </w:rPr>
      </w:pPr>
      <w:bookmarkStart w:id="8" w:name="_Toc24137497"/>
      <w:r>
        <w:rPr>
          <w:rFonts w:cs="Arial"/>
          <w:sz w:val="20"/>
        </w:rPr>
        <w:t>The UE should be</w:t>
      </w:r>
      <w:r w:rsidR="00950F7E">
        <w:rPr>
          <w:rFonts w:cs="Arial"/>
          <w:sz w:val="20"/>
        </w:rPr>
        <w:t xml:space="preserve"> able to switch to the new BWP right after BWP-switch </w:t>
      </w:r>
      <w:r w:rsidR="00367234">
        <w:rPr>
          <w:rFonts w:cs="Arial"/>
          <w:sz w:val="20"/>
        </w:rPr>
        <w:t>delay, including for the case of minK0 is larger than the BWP-switch time delay</w:t>
      </w:r>
      <w:r w:rsidR="005E5E3D" w:rsidRPr="00B70A53">
        <w:rPr>
          <w:rFonts w:cs="Arial"/>
          <w:sz w:val="20"/>
        </w:rPr>
        <w:t>.</w:t>
      </w:r>
      <w:bookmarkEnd w:id="8"/>
    </w:p>
    <w:p w14:paraId="706DC147" w14:textId="2A48FE99" w:rsidR="007B1600" w:rsidRPr="002475B9" w:rsidRDefault="00BD5B0C" w:rsidP="002475B9">
      <w:pPr>
        <w:pStyle w:val="Heading2"/>
        <w:rPr>
          <w:sz w:val="28"/>
          <w:lang w:val="en-US"/>
        </w:rPr>
      </w:pPr>
      <w:r w:rsidRPr="008D73CF">
        <w:rPr>
          <w:sz w:val="28"/>
          <w:lang w:val="en-US"/>
        </w:rPr>
        <w:t>2.</w:t>
      </w:r>
      <w:r>
        <w:rPr>
          <w:sz w:val="28"/>
          <w:lang w:val="en-US"/>
        </w:rPr>
        <w:t>4</w:t>
      </w:r>
      <w:r w:rsidRPr="008D73CF">
        <w:rPr>
          <w:sz w:val="28"/>
          <w:lang w:val="en-US"/>
        </w:rPr>
        <w:tab/>
      </w:r>
      <w:r w:rsidR="00E14F5D">
        <w:rPr>
          <w:sz w:val="28"/>
          <w:lang w:val="en-US"/>
        </w:rPr>
        <w:t>Application</w:t>
      </w:r>
      <w:r>
        <w:rPr>
          <w:sz w:val="28"/>
          <w:lang w:val="en-US"/>
        </w:rPr>
        <w:t xml:space="preserve"> delay</w:t>
      </w:r>
    </w:p>
    <w:p w14:paraId="4C3F2ADE" w14:textId="3410EB63" w:rsidR="00837897" w:rsidRPr="003628DD" w:rsidRDefault="00837897" w:rsidP="00837897">
      <w:pPr>
        <w:pStyle w:val="Heading3"/>
        <w:rPr>
          <w:i/>
          <w:sz w:val="24"/>
          <w:lang w:val="en-US"/>
        </w:rPr>
      </w:pPr>
      <w:r w:rsidRPr="007C11CD">
        <w:rPr>
          <w:sz w:val="24"/>
          <w:lang w:val="en-US"/>
        </w:rPr>
        <w:t>2.4</w:t>
      </w:r>
      <w:r w:rsidR="007C11CD">
        <w:rPr>
          <w:sz w:val="24"/>
          <w:lang w:val="en-US"/>
        </w:rPr>
        <w:t>.1</w:t>
      </w:r>
      <w:r w:rsidRPr="007C11CD">
        <w:rPr>
          <w:sz w:val="24"/>
          <w:lang w:val="en-US"/>
        </w:rPr>
        <w:tab/>
      </w:r>
      <w:r w:rsidR="003628DD">
        <w:rPr>
          <w:sz w:val="24"/>
          <w:lang w:val="en-US"/>
        </w:rPr>
        <w:t xml:space="preserve">Value of </w:t>
      </w:r>
      <w:r w:rsidR="003628DD">
        <w:rPr>
          <w:i/>
          <w:sz w:val="24"/>
          <w:lang w:val="en-US"/>
        </w:rPr>
        <w:t>Z</w:t>
      </w:r>
    </w:p>
    <w:p w14:paraId="0F44F2CA" w14:textId="4A76ED0F" w:rsidR="006E7812" w:rsidRDefault="00426743" w:rsidP="00B93451">
      <w:pPr>
        <w:jc w:val="both"/>
        <w:rPr>
          <w:sz w:val="20"/>
          <w:lang w:eastAsia="ja-JP"/>
        </w:rPr>
      </w:pPr>
      <w:r>
        <w:rPr>
          <w:sz w:val="20"/>
          <w:lang w:eastAsia="ja-JP"/>
        </w:rPr>
        <w:t xml:space="preserve">The value of </w:t>
      </w:r>
      <w:r>
        <w:rPr>
          <w:i/>
          <w:sz w:val="20"/>
          <w:lang w:eastAsia="ja-JP"/>
        </w:rPr>
        <w:t>Z</w:t>
      </w:r>
      <w:r>
        <w:rPr>
          <w:sz w:val="20"/>
          <w:lang w:eastAsia="ja-JP"/>
        </w:rPr>
        <w:t xml:space="preserve">, </w:t>
      </w:r>
      <w:r w:rsidR="00A86083">
        <w:rPr>
          <w:sz w:val="20"/>
          <w:lang w:eastAsia="ja-JP"/>
        </w:rPr>
        <w:t xml:space="preserve">in general, could represent the application delay for the case of transition from SS-state to the CS-state. In the SS-state, it is expected that the UE monitors PDCCH in every slot (if it is configured so in the PDCCH monitoring periodicity parameter of RRC configurations). Thus, at least from the NW perspective, the change can be done straightforwardly to the next slot. From the UE perspective, however, the change can be applied more than slot after, for the case of large SCS (i.e. as the DCI decoding is not yet finished at the same slot of the PDCCH transmission). This circumstance actually does not give any impact as the UE monitors the PDCCH in every slot anyway. For the sake of alignment (i.e. to have the NW and UE always agree on </w:t>
      </w:r>
      <w:r w:rsidR="0064640D">
        <w:rPr>
          <w:sz w:val="20"/>
          <w:lang w:eastAsia="ja-JP"/>
        </w:rPr>
        <w:t xml:space="preserve">the state), however, a </w:t>
      </w:r>
      <w:r w:rsidR="0064640D">
        <w:rPr>
          <w:i/>
          <w:sz w:val="20"/>
          <w:lang w:eastAsia="ja-JP"/>
        </w:rPr>
        <w:t>Z</w:t>
      </w:r>
      <w:r w:rsidR="0064640D">
        <w:rPr>
          <w:sz w:val="20"/>
          <w:lang w:eastAsia="ja-JP"/>
        </w:rPr>
        <w:t xml:space="preserve"> value larger than 1 can be considered for the case of large SCS. </w:t>
      </w:r>
    </w:p>
    <w:p w14:paraId="4F714445" w14:textId="37C7D980" w:rsidR="00CB6F80" w:rsidRDefault="00CB6F80" w:rsidP="00B93451">
      <w:pPr>
        <w:jc w:val="both"/>
        <w:rPr>
          <w:sz w:val="20"/>
          <w:lang w:eastAsia="ja-JP"/>
        </w:rPr>
      </w:pPr>
      <w:r>
        <w:rPr>
          <w:sz w:val="20"/>
          <w:lang w:eastAsia="ja-JP"/>
        </w:rPr>
        <w:t xml:space="preserve">Here, the value of </w:t>
      </w:r>
      <w:r>
        <w:rPr>
          <w:i/>
          <w:sz w:val="20"/>
          <w:lang w:eastAsia="ja-JP"/>
        </w:rPr>
        <w:t>Z</w:t>
      </w:r>
      <w:r>
        <w:rPr>
          <w:sz w:val="20"/>
          <w:lang w:eastAsia="ja-JP"/>
        </w:rPr>
        <w:t xml:space="preserve"> can be calculated </w:t>
      </w:r>
      <w:r w:rsidR="00B765AD">
        <w:rPr>
          <w:sz w:val="20"/>
          <w:lang w:eastAsia="ja-JP"/>
        </w:rPr>
        <w:t xml:space="preserve">by assuming </w:t>
      </w:r>
      <w:r w:rsidR="00DE54BF">
        <w:rPr>
          <w:sz w:val="20"/>
          <w:lang w:eastAsia="ja-JP"/>
        </w:rPr>
        <w:t xml:space="preserve">3 symbols of PDCCH monitoring </w:t>
      </w:r>
      <w:r w:rsidR="007A6895">
        <w:rPr>
          <w:sz w:val="20"/>
          <w:lang w:eastAsia="ja-JP"/>
        </w:rPr>
        <w:t>with case 1-1. Additional processing time can be added</w:t>
      </w:r>
      <w:r w:rsidR="00284720">
        <w:rPr>
          <w:sz w:val="20"/>
          <w:lang w:eastAsia="ja-JP"/>
        </w:rPr>
        <w:t xml:space="preserve"> using, for example, the delta value </w:t>
      </w:r>
      <w:r w:rsidR="001E2263">
        <w:rPr>
          <w:sz w:val="20"/>
          <w:lang w:eastAsia="ja-JP"/>
        </w:rPr>
        <w:t>agreed in the CA WI</w:t>
      </w:r>
      <w:r w:rsidR="00B75504">
        <w:rPr>
          <w:sz w:val="20"/>
          <w:lang w:eastAsia="ja-JP"/>
        </w:rPr>
        <w:t xml:space="preserve">, i.e. </w:t>
      </w:r>
      <w:r w:rsidR="00BF4DA1">
        <w:rPr>
          <w:sz w:val="20"/>
          <w:lang w:eastAsia="ja-JP"/>
        </w:rPr>
        <w:t>(4, 4, 8, and 12) symbols for SCS of (15, 30, 60, and 120) kHz, respectively</w:t>
      </w:r>
      <w:r w:rsidR="003D716D">
        <w:rPr>
          <w:sz w:val="20"/>
          <w:lang w:eastAsia="ja-JP"/>
        </w:rPr>
        <w:t xml:space="preserve">. Considering these factors, the value of </w:t>
      </w:r>
      <w:r w:rsidR="003D716D">
        <w:rPr>
          <w:i/>
          <w:sz w:val="20"/>
          <w:lang w:eastAsia="ja-JP"/>
        </w:rPr>
        <w:t>Z</w:t>
      </w:r>
      <w:r w:rsidR="003D716D">
        <w:rPr>
          <w:sz w:val="20"/>
          <w:lang w:eastAsia="ja-JP"/>
        </w:rPr>
        <w:t xml:space="preserve"> </w:t>
      </w:r>
      <w:r w:rsidR="008A7805">
        <w:rPr>
          <w:sz w:val="20"/>
          <w:lang w:eastAsia="ja-JP"/>
        </w:rPr>
        <w:t>of (1, ,1, 1, 2) can be considered sufficient for SCS of (15, 30, 60, and 120) kHz, respectively.</w:t>
      </w:r>
    </w:p>
    <w:p w14:paraId="68C81763" w14:textId="5E2E3173" w:rsidR="007337E8" w:rsidRPr="00B70A53" w:rsidRDefault="00256B29" w:rsidP="007337E8">
      <w:pPr>
        <w:pStyle w:val="Proposal"/>
        <w:numPr>
          <w:ilvl w:val="0"/>
          <w:numId w:val="3"/>
        </w:numPr>
        <w:tabs>
          <w:tab w:val="clear" w:pos="1304"/>
        </w:tabs>
        <w:ind w:left="1701" w:hanging="1701"/>
        <w:rPr>
          <w:rFonts w:cs="Arial"/>
          <w:sz w:val="20"/>
        </w:rPr>
      </w:pPr>
      <w:bookmarkStart w:id="9" w:name="_Toc24137498"/>
      <w:r>
        <w:rPr>
          <w:rFonts w:cs="Arial"/>
          <w:sz w:val="20"/>
        </w:rPr>
        <w:t>C</w:t>
      </w:r>
      <w:r w:rsidR="007337E8">
        <w:rPr>
          <w:rFonts w:cs="Arial"/>
          <w:sz w:val="20"/>
        </w:rPr>
        <w:t xml:space="preserve">onsider a value of </w:t>
      </w:r>
      <w:r w:rsidR="007337E8">
        <w:rPr>
          <w:rFonts w:cs="Arial"/>
          <w:i/>
          <w:sz w:val="20"/>
        </w:rPr>
        <w:t>Z</w:t>
      </w:r>
      <w:r w:rsidR="007337E8">
        <w:rPr>
          <w:rFonts w:cs="Arial"/>
          <w:sz w:val="20"/>
        </w:rPr>
        <w:t xml:space="preserve"> of </w:t>
      </w:r>
      <w:r w:rsidR="005F242E">
        <w:rPr>
          <w:rFonts w:cs="Arial"/>
          <w:sz w:val="20"/>
        </w:rPr>
        <w:t>(1, 1, 1, 2) for SCS of (15, 30, 60, 120) kHz, respectively.</w:t>
      </w:r>
      <w:bookmarkEnd w:id="9"/>
    </w:p>
    <w:p w14:paraId="08EFC60A" w14:textId="77777777" w:rsidR="007337E8" w:rsidRPr="003D716D" w:rsidRDefault="007337E8" w:rsidP="00B93451">
      <w:pPr>
        <w:jc w:val="both"/>
        <w:rPr>
          <w:sz w:val="20"/>
          <w:lang w:eastAsia="ja-JP"/>
        </w:rPr>
      </w:pPr>
    </w:p>
    <w:p w14:paraId="0169E7C4" w14:textId="3EEEFE91" w:rsidR="00A13FAE" w:rsidRPr="007C11CD" w:rsidRDefault="00A13FAE" w:rsidP="00A13FAE">
      <w:pPr>
        <w:pStyle w:val="Heading3"/>
        <w:rPr>
          <w:sz w:val="24"/>
          <w:lang w:val="en-US"/>
        </w:rPr>
      </w:pPr>
      <w:r w:rsidRPr="007C11CD">
        <w:rPr>
          <w:sz w:val="24"/>
          <w:lang w:val="en-US"/>
        </w:rPr>
        <w:t>2.4</w:t>
      </w:r>
      <w:r>
        <w:rPr>
          <w:sz w:val="24"/>
          <w:lang w:val="en-US"/>
        </w:rPr>
        <w:t>.</w:t>
      </w:r>
      <w:r w:rsidR="00CF5772">
        <w:rPr>
          <w:sz w:val="24"/>
          <w:lang w:val="en-US"/>
        </w:rPr>
        <w:t>2</w:t>
      </w:r>
      <w:r w:rsidRPr="007C11CD">
        <w:rPr>
          <w:sz w:val="24"/>
          <w:lang w:val="en-US"/>
        </w:rPr>
        <w:tab/>
      </w:r>
      <w:r>
        <w:rPr>
          <w:sz w:val="24"/>
          <w:lang w:val="en-US"/>
        </w:rPr>
        <w:t>Cross-carrier scheduling consideration</w:t>
      </w:r>
    </w:p>
    <w:p w14:paraId="51493B04" w14:textId="3BFFB091" w:rsidR="00A13FAE" w:rsidRDefault="00C1363F" w:rsidP="00FC1D64">
      <w:pPr>
        <w:jc w:val="both"/>
        <w:rPr>
          <w:sz w:val="20"/>
          <w:lang w:eastAsia="ja-JP"/>
        </w:rPr>
      </w:pPr>
      <w:r>
        <w:rPr>
          <w:sz w:val="20"/>
          <w:lang w:eastAsia="ja-JP"/>
        </w:rPr>
        <w:t xml:space="preserve">In </w:t>
      </w:r>
      <w:r w:rsidRPr="00C1363F">
        <w:rPr>
          <w:sz w:val="20"/>
          <w:lang w:eastAsia="ja-JP"/>
        </w:rPr>
        <w:t>the case of cross-carrier scheduling, the numerologies between the scheduling CC and scheduled CC can be different. In this case, the minK0 is in the numerology of the scheduled cell. On the other hand, the application delay</w:t>
      </w:r>
      <w:r w:rsidR="00395115">
        <w:rPr>
          <w:sz w:val="20"/>
          <w:lang w:eastAsia="ja-JP"/>
        </w:rPr>
        <w:t>,</w:t>
      </w:r>
      <w:r w:rsidRPr="00C1363F">
        <w:rPr>
          <w:sz w:val="20"/>
          <w:lang w:eastAsia="ja-JP"/>
        </w:rPr>
        <w:t xml:space="preserve"> would be based on the PDCCH monitoring slots. Therefore, a scaling based on the numerologies of the scheduling and the scheduled cell is needed to ensure that the value of minK0 application delay is computed in the slots of scheduling numerology.</w:t>
      </w:r>
    </w:p>
    <w:p w14:paraId="5B256C89" w14:textId="01B3453A" w:rsidR="00033F16" w:rsidRPr="00A878D0" w:rsidRDefault="00033F16" w:rsidP="00FC1D64">
      <w:pPr>
        <w:jc w:val="both"/>
        <w:rPr>
          <w:rFonts w:eastAsiaTheme="minorEastAsia"/>
          <w:sz w:val="20"/>
          <w:lang w:val="en-GB" w:eastAsia="ja-JP"/>
        </w:rPr>
      </w:pPr>
      <m:oMathPara>
        <m:oMath>
          <m:r>
            <w:rPr>
              <w:rFonts w:ascii="Cambria Math" w:eastAsiaTheme="minorEastAsia" w:hAnsi="Cambria Math"/>
              <w:sz w:val="20"/>
              <w:lang w:val="en-GB" w:eastAsia="ja-JP"/>
            </w:rPr>
            <m:t xml:space="preserve">Y= </m:t>
          </m:r>
          <m:d>
            <m:dPr>
              <m:begChr m:val="⌈"/>
              <m:endChr m:val="⌉"/>
              <m:ctrlPr>
                <w:rPr>
                  <w:rFonts w:ascii="Cambria Math" w:eastAsiaTheme="minorEastAsia" w:hAnsi="Cambria Math"/>
                  <w:i/>
                  <w:sz w:val="20"/>
                  <w:lang w:val="en-GB" w:eastAsia="ja-JP"/>
                </w:rPr>
              </m:ctrlPr>
            </m:dPr>
            <m:e>
              <m:r>
                <w:rPr>
                  <w:rFonts w:ascii="Cambria Math" w:eastAsiaTheme="minorEastAsia" w:hAnsi="Cambria Math"/>
                  <w:sz w:val="20"/>
                  <w:lang w:val="en-GB" w:eastAsia="ja-JP"/>
                </w:rPr>
                <m:t>K0_min</m:t>
              </m:r>
              <m:r>
                <w:rPr>
                  <w:rFonts w:ascii="Cambria Math" w:hAnsi="Cambria Math" w:cstheme="minorHAnsi"/>
                  <w:sz w:val="20"/>
                  <w:lang w:eastAsia="ja-JP"/>
                </w:rPr>
                <m:t>⋅</m:t>
              </m:r>
              <m:f>
                <m:fPr>
                  <m:ctrlPr>
                    <w:rPr>
                      <w:rFonts w:ascii="Cambria Math" w:hAnsi="Cambria Math" w:cstheme="minorHAnsi"/>
                      <w:i/>
                      <w:sz w:val="20"/>
                      <w:lang w:eastAsia="ja-JP"/>
                    </w:rPr>
                  </m:ctrlPr>
                </m:fPr>
                <m:num>
                  <m:sSup>
                    <m:sSupPr>
                      <m:ctrlPr>
                        <w:rPr>
                          <w:rFonts w:ascii="Cambria Math" w:hAnsi="Cambria Math" w:cstheme="minorHAnsi"/>
                          <w:i/>
                          <w:sz w:val="20"/>
                          <w:lang w:eastAsia="ja-JP"/>
                        </w:rPr>
                      </m:ctrlPr>
                    </m:sSupPr>
                    <m:e>
                      <m:r>
                        <w:rPr>
                          <w:rFonts w:ascii="Cambria Math" w:hAnsi="Cambria Math" w:cstheme="minorHAnsi"/>
                          <w:sz w:val="20"/>
                          <w:lang w:eastAsia="ja-JP"/>
                        </w:rPr>
                        <m:t>2</m:t>
                      </m:r>
                    </m:e>
                    <m:sup>
                      <m:sSub>
                        <m:sSubPr>
                          <m:ctrlPr>
                            <w:rPr>
                              <w:rFonts w:ascii="Cambria Math" w:hAnsi="Cambria Math" w:cstheme="minorHAnsi"/>
                              <w:i/>
                              <w:sz w:val="20"/>
                              <w:lang w:eastAsia="ja-JP"/>
                            </w:rPr>
                          </m:ctrlPr>
                        </m:sSubPr>
                        <m:e>
                          <m:r>
                            <w:rPr>
                              <w:rFonts w:ascii="Cambria Math" w:hAnsi="Cambria Math" w:cstheme="minorHAnsi"/>
                              <w:sz w:val="20"/>
                              <w:lang w:eastAsia="ja-JP"/>
                            </w:rPr>
                            <m:t>μ</m:t>
                          </m:r>
                        </m:e>
                        <m:sub>
                          <m:r>
                            <m:rPr>
                              <m:sty m:val="p"/>
                            </m:rPr>
                            <w:rPr>
                              <w:rFonts w:ascii="Cambria Math" w:hAnsi="Cambria Math" w:cstheme="minorHAnsi"/>
                              <w:sz w:val="20"/>
                              <w:lang w:eastAsia="ja-JP"/>
                            </w:rPr>
                            <m:t>PDCCH</m:t>
                          </m:r>
                        </m:sub>
                      </m:sSub>
                    </m:sup>
                  </m:sSup>
                </m:num>
                <m:den>
                  <m:sSup>
                    <m:sSupPr>
                      <m:ctrlPr>
                        <w:rPr>
                          <w:rFonts w:ascii="Cambria Math" w:hAnsi="Cambria Math" w:cstheme="minorHAnsi"/>
                          <w:i/>
                          <w:sz w:val="20"/>
                          <w:lang w:eastAsia="ja-JP"/>
                        </w:rPr>
                      </m:ctrlPr>
                    </m:sSupPr>
                    <m:e>
                      <m:r>
                        <w:rPr>
                          <w:rFonts w:ascii="Cambria Math" w:hAnsi="Cambria Math" w:cstheme="minorHAnsi"/>
                          <w:sz w:val="20"/>
                          <w:lang w:eastAsia="ja-JP"/>
                        </w:rPr>
                        <m:t>2</m:t>
                      </m:r>
                    </m:e>
                    <m:sup>
                      <m:sSub>
                        <m:sSubPr>
                          <m:ctrlPr>
                            <w:rPr>
                              <w:rFonts w:ascii="Cambria Math" w:hAnsi="Cambria Math" w:cstheme="minorHAnsi"/>
                              <w:i/>
                              <w:sz w:val="20"/>
                              <w:lang w:eastAsia="ja-JP"/>
                            </w:rPr>
                          </m:ctrlPr>
                        </m:sSubPr>
                        <m:e>
                          <m:r>
                            <w:rPr>
                              <w:rFonts w:ascii="Cambria Math" w:hAnsi="Cambria Math" w:cstheme="minorHAnsi"/>
                              <w:sz w:val="20"/>
                              <w:lang w:eastAsia="ja-JP"/>
                            </w:rPr>
                            <m:t>μ</m:t>
                          </m:r>
                        </m:e>
                        <m:sub>
                          <m:r>
                            <m:rPr>
                              <m:sty m:val="p"/>
                            </m:rPr>
                            <w:rPr>
                              <w:rFonts w:ascii="Cambria Math" w:hAnsi="Cambria Math" w:cstheme="minorHAnsi"/>
                              <w:sz w:val="20"/>
                              <w:lang w:eastAsia="ja-JP"/>
                            </w:rPr>
                            <m:t>PDSCH</m:t>
                          </m:r>
                        </m:sub>
                      </m:sSub>
                    </m:sup>
                  </m:sSup>
                </m:den>
              </m:f>
            </m:e>
          </m:d>
        </m:oMath>
      </m:oMathPara>
    </w:p>
    <w:p w14:paraId="5573753F" w14:textId="77777777" w:rsidR="00A878D0" w:rsidRPr="00A878D0" w:rsidRDefault="00A878D0" w:rsidP="00FC1D64">
      <w:pPr>
        <w:jc w:val="both"/>
        <w:rPr>
          <w:rFonts w:eastAsiaTheme="minorEastAsia"/>
          <w:sz w:val="20"/>
          <w:lang w:val="en-GB" w:eastAsia="ja-JP"/>
        </w:rPr>
      </w:pPr>
    </w:p>
    <w:p w14:paraId="7B4E30CE" w14:textId="69ED7A06" w:rsidR="00A878D0" w:rsidRPr="00B70A53" w:rsidRDefault="00A10E9C" w:rsidP="00A878D0">
      <w:pPr>
        <w:pStyle w:val="Proposal"/>
        <w:numPr>
          <w:ilvl w:val="0"/>
          <w:numId w:val="3"/>
        </w:numPr>
        <w:tabs>
          <w:tab w:val="clear" w:pos="1304"/>
        </w:tabs>
        <w:ind w:left="1701" w:hanging="1701"/>
        <w:rPr>
          <w:rFonts w:cs="Arial"/>
          <w:sz w:val="20"/>
        </w:rPr>
      </w:pPr>
      <w:bookmarkStart w:id="10" w:name="_Toc24137499"/>
      <w:r>
        <w:rPr>
          <w:rFonts w:cs="Arial"/>
          <w:sz w:val="20"/>
        </w:rPr>
        <w:t>To calculate application delay for cross-carrier scheduling case, the minK0 value of the scheduled cell is normalized to the scheduling cell numerology</w:t>
      </w:r>
      <w:r w:rsidR="00A878D0" w:rsidRPr="00B70A53">
        <w:rPr>
          <w:rFonts w:cs="Arial"/>
          <w:sz w:val="20"/>
        </w:rPr>
        <w:t>.</w:t>
      </w:r>
      <w:bookmarkEnd w:id="10"/>
    </w:p>
    <w:p w14:paraId="75BB6C3E" w14:textId="77777777" w:rsidR="001623A2" w:rsidRPr="007C11CD" w:rsidRDefault="001623A2" w:rsidP="00FC1D64">
      <w:pPr>
        <w:jc w:val="both"/>
        <w:rPr>
          <w:sz w:val="20"/>
          <w:lang w:eastAsia="ja-JP"/>
        </w:rPr>
      </w:pPr>
    </w:p>
    <w:p w14:paraId="64C8A84F" w14:textId="0DAC66E4" w:rsidR="00526200" w:rsidRDefault="00526200" w:rsidP="001875F7">
      <w:pPr>
        <w:pStyle w:val="Heading3"/>
        <w:rPr>
          <w:sz w:val="24"/>
          <w:lang w:val="en-US"/>
        </w:rPr>
      </w:pPr>
      <w:r w:rsidRPr="007C11CD">
        <w:rPr>
          <w:sz w:val="24"/>
          <w:lang w:val="en-US"/>
        </w:rPr>
        <w:t>2.4</w:t>
      </w:r>
      <w:r>
        <w:rPr>
          <w:sz w:val="24"/>
          <w:lang w:val="en-US"/>
        </w:rPr>
        <w:t>.3</w:t>
      </w:r>
      <w:r w:rsidRPr="007C11CD">
        <w:rPr>
          <w:sz w:val="24"/>
          <w:lang w:val="en-US"/>
        </w:rPr>
        <w:tab/>
      </w:r>
      <w:r w:rsidR="00220DB3">
        <w:rPr>
          <w:sz w:val="24"/>
          <w:lang w:val="en-US"/>
        </w:rPr>
        <w:t>PDCCH monitoring case 1-2 and case 2</w:t>
      </w:r>
    </w:p>
    <w:p w14:paraId="1C874337" w14:textId="11513987" w:rsidR="007F07E6" w:rsidRPr="002E33CB" w:rsidRDefault="00553964" w:rsidP="00084494">
      <w:pPr>
        <w:jc w:val="both"/>
        <w:rPr>
          <w:sz w:val="20"/>
        </w:rPr>
      </w:pPr>
      <w:r>
        <w:rPr>
          <w:sz w:val="20"/>
        </w:rPr>
        <w:t xml:space="preserve">In the above discussion, the main assumption is </w:t>
      </w:r>
      <w:r w:rsidR="004D0A2C">
        <w:rPr>
          <w:sz w:val="20"/>
        </w:rPr>
        <w:t>that the PDCCH monitoring case 1-1 is used. In some of the search-space configuration, however</w:t>
      </w:r>
      <w:r w:rsidR="00FE2528">
        <w:rPr>
          <w:sz w:val="20"/>
        </w:rPr>
        <w:t xml:space="preserve">, it is possible that PDCCH monitoring case 1-2 or PDCCH monitoring case 2 is </w:t>
      </w:r>
      <w:r w:rsidR="00751BD6">
        <w:rPr>
          <w:sz w:val="20"/>
        </w:rPr>
        <w:t>configured</w:t>
      </w:r>
      <w:r w:rsidR="00604FC4">
        <w:rPr>
          <w:sz w:val="20"/>
        </w:rPr>
        <w:t xml:space="preserve">. In PDCCH monitoring case 1-1, the </w:t>
      </w:r>
      <w:r w:rsidR="0012560F">
        <w:rPr>
          <w:sz w:val="20"/>
        </w:rPr>
        <w:t xml:space="preserve">determination of </w:t>
      </w:r>
      <w:r w:rsidR="002E33CB">
        <w:rPr>
          <w:sz w:val="20"/>
        </w:rPr>
        <w:t xml:space="preserve">value of </w:t>
      </w:r>
      <w:r w:rsidR="002E33CB">
        <w:rPr>
          <w:i/>
          <w:sz w:val="20"/>
        </w:rPr>
        <w:t>Z</w:t>
      </w:r>
      <w:r w:rsidR="000E414D">
        <w:rPr>
          <w:sz w:val="20"/>
        </w:rPr>
        <w:t xml:space="preserve"> and</w:t>
      </w:r>
      <w:r w:rsidR="002E33CB">
        <w:rPr>
          <w:sz w:val="20"/>
        </w:rPr>
        <w:t xml:space="preserve"> </w:t>
      </w:r>
      <w:r w:rsidR="000E414D">
        <w:rPr>
          <w:sz w:val="20"/>
        </w:rPr>
        <w:t>new-minK0 application delay</w:t>
      </w:r>
      <w:r w:rsidR="00B10B14">
        <w:rPr>
          <w:sz w:val="20"/>
        </w:rPr>
        <w:t xml:space="preserve"> is relatively straightforward as the PDCCH monitoring ends in </w:t>
      </w:r>
      <w:r w:rsidR="00F22F80">
        <w:rPr>
          <w:sz w:val="20"/>
        </w:rPr>
        <w:t>the 3</w:t>
      </w:r>
      <w:r w:rsidR="00F22F80" w:rsidRPr="00F22F80">
        <w:rPr>
          <w:sz w:val="20"/>
          <w:vertAlign w:val="superscript"/>
        </w:rPr>
        <w:t>rd</w:t>
      </w:r>
      <w:r w:rsidR="00F22F80">
        <w:rPr>
          <w:sz w:val="20"/>
        </w:rPr>
        <w:t xml:space="preserve"> symbol or smaller.</w:t>
      </w:r>
      <w:r w:rsidR="002D44A4">
        <w:rPr>
          <w:sz w:val="20"/>
        </w:rPr>
        <w:t xml:space="preserve"> In PDCCH monitoring case 1-2 and case 2, however, the </w:t>
      </w:r>
      <w:r w:rsidR="000F3F34">
        <w:rPr>
          <w:sz w:val="20"/>
        </w:rPr>
        <w:t xml:space="preserve">location of </w:t>
      </w:r>
      <w:r w:rsidR="00F42E5F">
        <w:rPr>
          <w:sz w:val="20"/>
        </w:rPr>
        <w:t xml:space="preserve">the last symbol of PDCCH monitoring </w:t>
      </w:r>
      <w:r w:rsidR="00132728">
        <w:rPr>
          <w:sz w:val="20"/>
        </w:rPr>
        <w:t>can vary</w:t>
      </w:r>
      <w:r w:rsidR="00BB4386">
        <w:rPr>
          <w:sz w:val="20"/>
        </w:rPr>
        <w:t xml:space="preserve"> and thus, the application delay might also</w:t>
      </w:r>
      <w:r w:rsidR="00530FD3">
        <w:rPr>
          <w:sz w:val="20"/>
        </w:rPr>
        <w:t xml:space="preserve"> need to be different.</w:t>
      </w:r>
    </w:p>
    <w:p w14:paraId="45066BEF" w14:textId="75F858D5" w:rsidR="005C7E22" w:rsidRDefault="004B7267" w:rsidP="00084494">
      <w:pPr>
        <w:jc w:val="both"/>
        <w:rPr>
          <w:sz w:val="20"/>
        </w:rPr>
      </w:pPr>
      <w:r>
        <w:rPr>
          <w:sz w:val="20"/>
        </w:rPr>
        <w:t xml:space="preserve">Note that this difference might </w:t>
      </w:r>
      <w:r w:rsidR="00971556">
        <w:rPr>
          <w:sz w:val="20"/>
        </w:rPr>
        <w:t>depend</w:t>
      </w:r>
      <w:r>
        <w:rPr>
          <w:sz w:val="20"/>
        </w:rPr>
        <w:t xml:space="preserve"> on the SCS. </w:t>
      </w:r>
      <w:r w:rsidR="005E1324">
        <w:rPr>
          <w:sz w:val="20"/>
        </w:rPr>
        <w:t>Using</w:t>
      </w:r>
      <w:r>
        <w:rPr>
          <w:sz w:val="20"/>
        </w:rPr>
        <w:t xml:space="preserve"> </w:t>
      </w:r>
      <w:r w:rsidR="00C16A81">
        <w:rPr>
          <w:sz w:val="20"/>
        </w:rPr>
        <w:t>an SCS of 15kHz, for example, PDCCH monitoring in the 6</w:t>
      </w:r>
      <w:r w:rsidR="005C7E22">
        <w:rPr>
          <w:sz w:val="20"/>
          <w:vertAlign w:val="superscript"/>
        </w:rPr>
        <w:t>th</w:t>
      </w:r>
      <w:r w:rsidR="00C16A81">
        <w:rPr>
          <w:sz w:val="20"/>
        </w:rPr>
        <w:t>-8</w:t>
      </w:r>
      <w:r w:rsidR="00C16A81">
        <w:rPr>
          <w:sz w:val="20"/>
          <w:vertAlign w:val="superscript"/>
        </w:rPr>
        <w:t>th</w:t>
      </w:r>
      <w:r w:rsidR="00C16A81">
        <w:rPr>
          <w:sz w:val="20"/>
        </w:rPr>
        <w:t xml:space="preserve"> symbol might not give any</w:t>
      </w:r>
      <w:r w:rsidR="003179FF">
        <w:rPr>
          <w:sz w:val="20"/>
        </w:rPr>
        <w:t xml:space="preserve"> application delay difference compared to that of</w:t>
      </w:r>
      <w:r w:rsidR="00C16A81">
        <w:rPr>
          <w:sz w:val="20"/>
        </w:rPr>
        <w:t xml:space="preserve"> 1</w:t>
      </w:r>
      <w:r w:rsidR="00C16A81" w:rsidRPr="00C16A81">
        <w:rPr>
          <w:sz w:val="20"/>
          <w:vertAlign w:val="superscript"/>
        </w:rPr>
        <w:t>st</w:t>
      </w:r>
      <w:r w:rsidR="00C16A81">
        <w:rPr>
          <w:sz w:val="20"/>
        </w:rPr>
        <w:t>-3</w:t>
      </w:r>
      <w:r w:rsidR="00C16A81" w:rsidRPr="00C16A81">
        <w:rPr>
          <w:sz w:val="20"/>
          <w:vertAlign w:val="superscript"/>
        </w:rPr>
        <w:t>rd</w:t>
      </w:r>
      <w:r w:rsidR="00C537F1">
        <w:rPr>
          <w:sz w:val="20"/>
        </w:rPr>
        <w:t xml:space="preserve"> </w:t>
      </w:r>
      <w:r w:rsidR="00C16A81">
        <w:rPr>
          <w:sz w:val="20"/>
        </w:rPr>
        <w:t>symbol</w:t>
      </w:r>
      <w:r w:rsidR="005E1F26">
        <w:rPr>
          <w:sz w:val="20"/>
        </w:rPr>
        <w:t xml:space="preserve"> of PDCCH monitoring</w:t>
      </w:r>
      <w:r w:rsidR="00C16A81">
        <w:rPr>
          <w:sz w:val="20"/>
        </w:rPr>
        <w:t>.</w:t>
      </w:r>
      <w:r w:rsidR="004B2A42">
        <w:rPr>
          <w:sz w:val="20"/>
        </w:rPr>
        <w:t xml:space="preserve"> On the other hand, when an SCS of </w:t>
      </w:r>
      <w:r w:rsidR="00097338">
        <w:rPr>
          <w:sz w:val="20"/>
        </w:rPr>
        <w:t xml:space="preserve">60kHz is used, the application delay when the PDCCH monitoring is conducted </w:t>
      </w:r>
      <w:r w:rsidR="006A67D1">
        <w:rPr>
          <w:sz w:val="20"/>
        </w:rPr>
        <w:t>at the 1</w:t>
      </w:r>
      <w:r w:rsidR="006A67D1" w:rsidRPr="00C16A81">
        <w:rPr>
          <w:sz w:val="20"/>
          <w:vertAlign w:val="superscript"/>
        </w:rPr>
        <w:t>st</w:t>
      </w:r>
      <w:r w:rsidR="006A67D1">
        <w:rPr>
          <w:sz w:val="20"/>
        </w:rPr>
        <w:t>-3</w:t>
      </w:r>
      <w:r w:rsidR="006A67D1" w:rsidRPr="00C16A81">
        <w:rPr>
          <w:sz w:val="20"/>
          <w:vertAlign w:val="superscript"/>
        </w:rPr>
        <w:t>r</w:t>
      </w:r>
      <w:r w:rsidR="006A67D1">
        <w:rPr>
          <w:sz w:val="20"/>
          <w:vertAlign w:val="superscript"/>
        </w:rPr>
        <w:t>d</w:t>
      </w:r>
      <w:r w:rsidR="006A67D1">
        <w:rPr>
          <w:sz w:val="20"/>
        </w:rPr>
        <w:t xml:space="preserve"> need to be different compared to that </w:t>
      </w:r>
      <w:r w:rsidR="006977D9">
        <w:rPr>
          <w:sz w:val="20"/>
        </w:rPr>
        <w:t xml:space="preserve">of the PDCCH monitoring is conducted at the </w:t>
      </w:r>
      <w:r w:rsidR="005C7E22">
        <w:rPr>
          <w:sz w:val="20"/>
        </w:rPr>
        <w:t>6</w:t>
      </w:r>
      <w:r w:rsidR="005C7E22">
        <w:rPr>
          <w:sz w:val="20"/>
          <w:vertAlign w:val="superscript"/>
        </w:rPr>
        <w:t>th</w:t>
      </w:r>
      <w:r w:rsidR="005C7E22">
        <w:rPr>
          <w:sz w:val="20"/>
        </w:rPr>
        <w:t>-8</w:t>
      </w:r>
      <w:r w:rsidR="005C7E22">
        <w:rPr>
          <w:sz w:val="20"/>
          <w:vertAlign w:val="superscript"/>
        </w:rPr>
        <w:t>th</w:t>
      </w:r>
      <w:r w:rsidR="005C7E22">
        <w:rPr>
          <w:sz w:val="20"/>
        </w:rPr>
        <w:t xml:space="preserve"> symbol.</w:t>
      </w:r>
    </w:p>
    <w:p w14:paraId="5B3B116F" w14:textId="60695C4A" w:rsidR="006C248B" w:rsidRDefault="001B3493" w:rsidP="00084494">
      <w:pPr>
        <w:jc w:val="both"/>
        <w:rPr>
          <w:sz w:val="20"/>
        </w:rPr>
      </w:pPr>
      <w:r>
        <w:rPr>
          <w:sz w:val="20"/>
        </w:rPr>
        <w:t xml:space="preserve">Considering this, </w:t>
      </w:r>
      <w:r w:rsidR="00AD01C8">
        <w:rPr>
          <w:sz w:val="20"/>
        </w:rPr>
        <w:t>additional delay</w:t>
      </w:r>
      <w:r w:rsidR="00BA7F4B">
        <w:rPr>
          <w:sz w:val="20"/>
        </w:rPr>
        <w:t xml:space="preserve">, </w:t>
      </w:r>
      <m:oMath>
        <m:r>
          <w:rPr>
            <w:rFonts w:ascii="Cambria Math" w:hAnsi="Cambria Math"/>
            <w:sz w:val="20"/>
          </w:rPr>
          <m:t>α</m:t>
        </m:r>
      </m:oMath>
      <w:r w:rsidR="00BA7F4B">
        <w:rPr>
          <w:sz w:val="20"/>
        </w:rPr>
        <w:t>,</w:t>
      </w:r>
      <w:r w:rsidR="00AD01C8">
        <w:rPr>
          <w:sz w:val="20"/>
        </w:rPr>
        <w:t xml:space="preserve"> can be considered in the application delay formula.</w:t>
      </w:r>
      <w:r w:rsidR="00DC5AE4">
        <w:rPr>
          <w:sz w:val="20"/>
        </w:rPr>
        <w:t xml:space="preserve"> Thus, a more general </w:t>
      </w:r>
      <w:r w:rsidR="00420004">
        <w:rPr>
          <w:sz w:val="20"/>
        </w:rPr>
        <w:t xml:space="preserve">formula of </w:t>
      </w:r>
      <w:r w:rsidR="00DC5AE4">
        <w:rPr>
          <w:sz w:val="20"/>
        </w:rPr>
        <w:t>new</w:t>
      </w:r>
      <w:r w:rsidR="00420004">
        <w:rPr>
          <w:sz w:val="20"/>
        </w:rPr>
        <w:t>-</w:t>
      </w:r>
      <w:r w:rsidR="00DC5AE4">
        <w:rPr>
          <w:sz w:val="20"/>
        </w:rPr>
        <w:t xml:space="preserve">minK0 application delay </w:t>
      </w:r>
      <w:r w:rsidR="00420004">
        <w:rPr>
          <w:sz w:val="20"/>
        </w:rPr>
        <w:t>can be written as:</w:t>
      </w:r>
    </w:p>
    <w:p w14:paraId="62F7087C" w14:textId="21BAEB11" w:rsidR="00420004" w:rsidRPr="00553964" w:rsidRDefault="00E32914" w:rsidP="00084494">
      <w:pPr>
        <w:jc w:val="both"/>
        <w:rPr>
          <w:sz w:val="20"/>
        </w:rPr>
      </w:pPr>
      <m:oMathPara>
        <m:oMath>
          <m:r>
            <w:rPr>
              <w:rFonts w:ascii="Cambria Math" w:eastAsiaTheme="minorEastAsia" w:hAnsi="Cambria Math"/>
              <w:sz w:val="20"/>
              <w:lang w:val="en-GB" w:eastAsia="ja-JP"/>
            </w:rPr>
            <m:t>X'=</m:t>
          </m:r>
          <m:func>
            <m:funcPr>
              <m:ctrlPr>
                <w:rPr>
                  <w:rFonts w:ascii="Cambria Math" w:eastAsiaTheme="minorEastAsia" w:hAnsi="Cambria Math"/>
                  <w:i/>
                  <w:sz w:val="20"/>
                  <w:lang w:val="en-GB" w:eastAsia="ja-JP"/>
                </w:rPr>
              </m:ctrlPr>
            </m:funcPr>
            <m:fName>
              <m:r>
                <m:rPr>
                  <m:sty m:val="p"/>
                </m:rPr>
                <w:rPr>
                  <w:rFonts w:ascii="Cambria Math" w:hAnsi="Cambria Math"/>
                  <w:sz w:val="20"/>
                  <w:lang w:val="en-GB" w:eastAsia="ja-JP"/>
                </w:rPr>
                <m:t>max</m:t>
              </m:r>
            </m:fName>
            <m:e>
              <m:d>
                <m:dPr>
                  <m:ctrlPr>
                    <w:rPr>
                      <w:rFonts w:ascii="Cambria Math" w:eastAsiaTheme="minorEastAsia" w:hAnsi="Cambria Math"/>
                      <w:i/>
                      <w:sz w:val="20"/>
                      <w:lang w:val="en-GB" w:eastAsia="ja-JP"/>
                    </w:rPr>
                  </m:ctrlPr>
                </m:dPr>
                <m:e>
                  <m:d>
                    <m:dPr>
                      <m:begChr m:val="⌈"/>
                      <m:endChr m:val="⌉"/>
                      <m:ctrlPr>
                        <w:rPr>
                          <w:rFonts w:ascii="Cambria Math" w:eastAsiaTheme="minorEastAsia" w:hAnsi="Cambria Math"/>
                          <w:i/>
                          <w:sz w:val="20"/>
                          <w:lang w:val="en-GB" w:eastAsia="ja-JP"/>
                        </w:rPr>
                      </m:ctrlPr>
                    </m:dPr>
                    <m:e>
                      <m:d>
                        <m:dPr>
                          <m:ctrlPr>
                            <w:rPr>
                              <w:rFonts w:ascii="Cambria Math" w:eastAsiaTheme="minorEastAsia" w:hAnsi="Cambria Math"/>
                              <w:i/>
                              <w:sz w:val="20"/>
                              <w:lang w:val="en-GB" w:eastAsia="ja-JP"/>
                            </w:rPr>
                          </m:ctrlPr>
                        </m:dPr>
                        <m:e>
                          <m:r>
                            <w:rPr>
                              <w:rFonts w:ascii="Cambria Math" w:eastAsiaTheme="minorEastAsia" w:hAnsi="Cambria Math"/>
                              <w:sz w:val="20"/>
                              <w:lang w:val="en-GB" w:eastAsia="ja-JP"/>
                            </w:rPr>
                            <m:t>K</m:t>
                          </m:r>
                          <m:sSub>
                            <m:sSubPr>
                              <m:ctrlPr>
                                <w:rPr>
                                  <w:rFonts w:ascii="Cambria Math" w:eastAsiaTheme="minorEastAsia" w:hAnsi="Cambria Math"/>
                                  <w:i/>
                                  <w:sz w:val="20"/>
                                  <w:lang w:val="en-GB" w:eastAsia="ja-JP"/>
                                </w:rPr>
                              </m:ctrlPr>
                            </m:sSubPr>
                            <m:e>
                              <m:r>
                                <w:rPr>
                                  <w:rFonts w:ascii="Cambria Math" w:eastAsiaTheme="minorEastAsia" w:hAnsi="Cambria Math"/>
                                  <w:sz w:val="20"/>
                                  <w:lang w:val="en-GB" w:eastAsia="ja-JP"/>
                                </w:rPr>
                                <m:t>0</m:t>
                              </m:r>
                            </m:e>
                            <m:sub>
                              <m:r>
                                <w:rPr>
                                  <w:rFonts w:ascii="Cambria Math" w:eastAsiaTheme="minorEastAsia" w:hAnsi="Cambria Math"/>
                                  <w:sz w:val="20"/>
                                  <w:lang w:val="en-GB" w:eastAsia="ja-JP"/>
                                </w:rPr>
                                <m:t>min</m:t>
                              </m:r>
                            </m:sub>
                          </m:sSub>
                        </m:e>
                      </m:d>
                      <m:r>
                        <w:rPr>
                          <w:rFonts w:ascii="Cambria Math" w:hAnsi="Cambria Math" w:cstheme="minorHAnsi"/>
                          <w:sz w:val="20"/>
                          <w:lang w:eastAsia="ja-JP"/>
                        </w:rPr>
                        <m:t>⋅</m:t>
                      </m:r>
                      <m:f>
                        <m:fPr>
                          <m:ctrlPr>
                            <w:rPr>
                              <w:rFonts w:ascii="Cambria Math" w:hAnsi="Cambria Math" w:cstheme="minorHAnsi"/>
                              <w:i/>
                              <w:sz w:val="20"/>
                              <w:lang w:eastAsia="ja-JP"/>
                            </w:rPr>
                          </m:ctrlPr>
                        </m:fPr>
                        <m:num>
                          <m:sSup>
                            <m:sSupPr>
                              <m:ctrlPr>
                                <w:rPr>
                                  <w:rFonts w:ascii="Cambria Math" w:hAnsi="Cambria Math" w:cstheme="minorHAnsi"/>
                                  <w:i/>
                                  <w:sz w:val="20"/>
                                  <w:lang w:eastAsia="ja-JP"/>
                                </w:rPr>
                              </m:ctrlPr>
                            </m:sSupPr>
                            <m:e>
                              <m:r>
                                <w:rPr>
                                  <w:rFonts w:ascii="Cambria Math" w:hAnsi="Cambria Math" w:cstheme="minorHAnsi"/>
                                  <w:sz w:val="20"/>
                                  <w:lang w:eastAsia="ja-JP"/>
                                </w:rPr>
                                <m:t>2</m:t>
                              </m:r>
                            </m:e>
                            <m:sup>
                              <m:sSub>
                                <m:sSubPr>
                                  <m:ctrlPr>
                                    <w:rPr>
                                      <w:rFonts w:ascii="Cambria Math" w:hAnsi="Cambria Math" w:cstheme="minorHAnsi"/>
                                      <w:i/>
                                      <w:sz w:val="20"/>
                                      <w:lang w:eastAsia="ja-JP"/>
                                    </w:rPr>
                                  </m:ctrlPr>
                                </m:sSubPr>
                                <m:e>
                                  <m:r>
                                    <w:rPr>
                                      <w:rFonts w:ascii="Cambria Math" w:hAnsi="Cambria Math" w:cstheme="minorHAnsi"/>
                                      <w:sz w:val="20"/>
                                      <w:lang w:eastAsia="ja-JP"/>
                                    </w:rPr>
                                    <m:t>μ</m:t>
                                  </m:r>
                                </m:e>
                                <m:sub>
                                  <m:r>
                                    <m:rPr>
                                      <m:sty m:val="p"/>
                                    </m:rPr>
                                    <w:rPr>
                                      <w:rFonts w:ascii="Cambria Math" w:hAnsi="Cambria Math" w:cstheme="minorHAnsi"/>
                                      <w:sz w:val="20"/>
                                      <w:lang w:eastAsia="ja-JP"/>
                                    </w:rPr>
                                    <m:t>PDCCH</m:t>
                                  </m:r>
                                </m:sub>
                              </m:sSub>
                            </m:sup>
                          </m:sSup>
                        </m:num>
                        <m:den>
                          <m:sSup>
                            <m:sSupPr>
                              <m:ctrlPr>
                                <w:rPr>
                                  <w:rFonts w:ascii="Cambria Math" w:hAnsi="Cambria Math" w:cstheme="minorHAnsi"/>
                                  <w:i/>
                                  <w:sz w:val="20"/>
                                  <w:lang w:eastAsia="ja-JP"/>
                                </w:rPr>
                              </m:ctrlPr>
                            </m:sSupPr>
                            <m:e>
                              <m:r>
                                <w:rPr>
                                  <w:rFonts w:ascii="Cambria Math" w:hAnsi="Cambria Math" w:cstheme="minorHAnsi"/>
                                  <w:sz w:val="20"/>
                                  <w:lang w:eastAsia="ja-JP"/>
                                </w:rPr>
                                <m:t>2</m:t>
                              </m:r>
                            </m:e>
                            <m:sup>
                              <m:sSub>
                                <m:sSubPr>
                                  <m:ctrlPr>
                                    <w:rPr>
                                      <w:rFonts w:ascii="Cambria Math" w:hAnsi="Cambria Math" w:cstheme="minorHAnsi"/>
                                      <w:i/>
                                      <w:sz w:val="20"/>
                                      <w:lang w:eastAsia="ja-JP"/>
                                    </w:rPr>
                                  </m:ctrlPr>
                                </m:sSubPr>
                                <m:e>
                                  <m:r>
                                    <w:rPr>
                                      <w:rFonts w:ascii="Cambria Math" w:hAnsi="Cambria Math" w:cstheme="minorHAnsi"/>
                                      <w:sz w:val="20"/>
                                      <w:lang w:eastAsia="ja-JP"/>
                                    </w:rPr>
                                    <m:t>μ</m:t>
                                  </m:r>
                                </m:e>
                                <m:sub>
                                  <m:r>
                                    <m:rPr>
                                      <m:sty m:val="p"/>
                                    </m:rPr>
                                    <w:rPr>
                                      <w:rFonts w:ascii="Cambria Math" w:hAnsi="Cambria Math" w:cstheme="minorHAnsi"/>
                                      <w:sz w:val="20"/>
                                      <w:lang w:eastAsia="ja-JP"/>
                                    </w:rPr>
                                    <m:t>PDSCH</m:t>
                                  </m:r>
                                </m:sub>
                              </m:sSub>
                            </m:sup>
                          </m:sSup>
                        </m:den>
                      </m:f>
                    </m:e>
                  </m:d>
                  <m:r>
                    <w:rPr>
                      <w:rFonts w:ascii="Cambria Math" w:eastAsiaTheme="minorEastAsia" w:hAnsi="Cambria Math"/>
                      <w:sz w:val="20"/>
                      <w:lang w:val="en-GB" w:eastAsia="ja-JP"/>
                    </w:rPr>
                    <m:t>, Z+α</m:t>
                  </m:r>
                </m:e>
              </m:d>
            </m:e>
          </m:func>
          <m:r>
            <w:rPr>
              <w:rFonts w:ascii="Cambria Math" w:eastAsiaTheme="minorEastAsia" w:hAnsi="Cambria Math"/>
              <w:sz w:val="20"/>
              <w:lang w:val="en-GB" w:eastAsia="ja-JP"/>
            </w:rPr>
            <m:t xml:space="preserve">. </m:t>
          </m:r>
        </m:oMath>
      </m:oMathPara>
    </w:p>
    <w:p w14:paraId="337590CF" w14:textId="4EDA8D7E" w:rsidR="0029222E" w:rsidRDefault="0029222E" w:rsidP="00084494">
      <w:pPr>
        <w:jc w:val="both"/>
        <w:rPr>
          <w:color w:val="FF0000"/>
          <w:sz w:val="20"/>
        </w:rPr>
      </w:pPr>
    </w:p>
    <w:p w14:paraId="630FC96D" w14:textId="23924107" w:rsidR="00AD0B80" w:rsidRDefault="0000294A" w:rsidP="00084494">
      <w:pPr>
        <w:jc w:val="both"/>
        <w:rPr>
          <w:rFonts w:eastAsiaTheme="minorEastAsia"/>
          <w:sz w:val="20"/>
        </w:rPr>
      </w:pPr>
      <w:r>
        <w:rPr>
          <w:sz w:val="20"/>
        </w:rPr>
        <w:t xml:space="preserve">Note that </w:t>
      </w:r>
      <w:r w:rsidR="005F1F3B">
        <w:rPr>
          <w:sz w:val="20"/>
        </w:rPr>
        <w:t xml:space="preserve">the </w:t>
      </w:r>
      <m:oMath>
        <m:r>
          <w:rPr>
            <w:rFonts w:ascii="Cambria Math" w:eastAsiaTheme="minorEastAsia" w:hAnsi="Cambria Math"/>
            <w:sz w:val="20"/>
            <w:lang w:val="en-GB" w:eastAsia="ja-JP"/>
          </w:rPr>
          <m:t>K</m:t>
        </m:r>
        <m:sSub>
          <m:sSubPr>
            <m:ctrlPr>
              <w:rPr>
                <w:rFonts w:ascii="Cambria Math" w:eastAsiaTheme="minorEastAsia" w:hAnsi="Cambria Math"/>
                <w:i/>
                <w:sz w:val="20"/>
                <w:lang w:val="en-GB" w:eastAsia="ja-JP"/>
              </w:rPr>
            </m:ctrlPr>
          </m:sSubPr>
          <m:e>
            <m:r>
              <w:rPr>
                <w:rFonts w:ascii="Cambria Math" w:eastAsiaTheme="minorEastAsia" w:hAnsi="Cambria Math"/>
                <w:sz w:val="20"/>
                <w:lang w:val="en-GB" w:eastAsia="ja-JP"/>
              </w:rPr>
              <m:t>0</m:t>
            </m:r>
          </m:e>
          <m:sub>
            <m:r>
              <w:rPr>
                <w:rFonts w:ascii="Cambria Math" w:eastAsiaTheme="minorEastAsia" w:hAnsi="Cambria Math"/>
                <w:sz w:val="20"/>
                <w:lang w:val="en-GB" w:eastAsia="ja-JP"/>
              </w:rPr>
              <m:t>min</m:t>
            </m:r>
          </m:sub>
        </m:sSub>
      </m:oMath>
      <w:r w:rsidR="005F1F3B">
        <w:rPr>
          <w:rFonts w:eastAsiaTheme="minorEastAsia"/>
          <w:sz w:val="20"/>
        </w:rPr>
        <w:t xml:space="preserve"> value refers</w:t>
      </w:r>
      <w:r w:rsidR="007E49F1">
        <w:rPr>
          <w:rFonts w:eastAsiaTheme="minorEastAsia"/>
          <w:sz w:val="20"/>
        </w:rPr>
        <w:t xml:space="preserve"> to the </w:t>
      </w:r>
      <w:r w:rsidR="00F51229">
        <w:rPr>
          <w:rFonts w:eastAsiaTheme="minorEastAsia"/>
          <w:sz w:val="20"/>
        </w:rPr>
        <w:t>minK0 value prior to the change.</w:t>
      </w:r>
      <w:r w:rsidR="005F1F3B">
        <w:rPr>
          <w:sz w:val="20"/>
        </w:rPr>
        <w:t xml:space="preserve"> </w:t>
      </w:r>
      <w:r w:rsidR="00BA7F4B">
        <w:rPr>
          <w:sz w:val="20"/>
        </w:rPr>
        <w:t>Here,</w:t>
      </w:r>
      <w:r w:rsidR="0011375E">
        <w:rPr>
          <w:sz w:val="20"/>
        </w:rPr>
        <w:t xml:space="preserve"> </w:t>
      </w:r>
      <w:r w:rsidR="00B77989">
        <w:rPr>
          <w:rFonts w:eastAsiaTheme="minorEastAsia"/>
          <w:sz w:val="20"/>
        </w:rPr>
        <w:t xml:space="preserve">for generalization purpose, the value of </w:t>
      </w:r>
      <w:r w:rsidR="00B77989">
        <w:rPr>
          <w:rFonts w:eastAsiaTheme="minorEastAsia"/>
          <w:i/>
          <w:sz w:val="20"/>
        </w:rPr>
        <w:t xml:space="preserve">Z </w:t>
      </w:r>
      <w:r w:rsidR="00B77989">
        <w:rPr>
          <w:rFonts w:eastAsiaTheme="minorEastAsia"/>
          <w:sz w:val="20"/>
        </w:rPr>
        <w:t>can be set as 1.</w:t>
      </w:r>
      <w:r w:rsidR="00B77989">
        <w:rPr>
          <w:sz w:val="20"/>
        </w:rPr>
        <w:t xml:space="preserve"> T</w:t>
      </w:r>
      <w:r w:rsidR="0011375E">
        <w:rPr>
          <w:sz w:val="20"/>
        </w:rPr>
        <w:t xml:space="preserve">he value of </w:t>
      </w:r>
      <m:oMath>
        <m:r>
          <w:rPr>
            <w:rFonts w:ascii="Cambria Math" w:hAnsi="Cambria Math"/>
            <w:sz w:val="20"/>
          </w:rPr>
          <m:t>α</m:t>
        </m:r>
      </m:oMath>
      <w:r w:rsidR="00B77989">
        <w:rPr>
          <w:rFonts w:eastAsiaTheme="minorEastAsia"/>
          <w:sz w:val="20"/>
        </w:rPr>
        <w:t>, on the other hand,</w:t>
      </w:r>
      <w:r w:rsidR="00BA7F4B">
        <w:rPr>
          <w:rFonts w:eastAsiaTheme="minorEastAsia"/>
          <w:sz w:val="20"/>
        </w:rPr>
        <w:t xml:space="preserve"> depend</w:t>
      </w:r>
      <w:r w:rsidR="0086143B">
        <w:rPr>
          <w:rFonts w:eastAsiaTheme="minorEastAsia"/>
          <w:sz w:val="20"/>
        </w:rPr>
        <w:t>s</w:t>
      </w:r>
      <w:r w:rsidR="00BA7F4B">
        <w:rPr>
          <w:rFonts w:eastAsiaTheme="minorEastAsia"/>
          <w:sz w:val="20"/>
        </w:rPr>
        <w:t xml:space="preserve"> on the last symbol location of </w:t>
      </w:r>
      <w:r w:rsidR="002629EE">
        <w:rPr>
          <w:rFonts w:eastAsiaTheme="minorEastAsia"/>
          <w:sz w:val="20"/>
        </w:rPr>
        <w:t xml:space="preserve">the PDCCH monitoring </w:t>
      </w:r>
      <w:r w:rsidR="005D7D12">
        <w:rPr>
          <w:rFonts w:eastAsiaTheme="minorEastAsia"/>
          <w:sz w:val="20"/>
        </w:rPr>
        <w:t>and the SCS.</w:t>
      </w:r>
      <w:r w:rsidR="00F16F90">
        <w:rPr>
          <w:rFonts w:eastAsiaTheme="minorEastAsia"/>
          <w:sz w:val="20"/>
        </w:rPr>
        <w:t xml:space="preserve"> For example, the </w:t>
      </w:r>
      <w:r w:rsidR="006B0772">
        <w:rPr>
          <w:rFonts w:eastAsiaTheme="minorEastAsia"/>
          <w:sz w:val="20"/>
        </w:rPr>
        <w:t xml:space="preserve">value of </w:t>
      </w:r>
      <m:oMath>
        <m:r>
          <w:rPr>
            <w:rFonts w:ascii="Cambria Math" w:hAnsi="Cambria Math"/>
            <w:sz w:val="20"/>
          </w:rPr>
          <m:t>α</m:t>
        </m:r>
      </m:oMath>
      <w:r w:rsidR="009D20AE">
        <w:rPr>
          <w:rFonts w:eastAsiaTheme="minorEastAsia"/>
          <w:sz w:val="20"/>
        </w:rPr>
        <w:t xml:space="preserve"> can be set as</w:t>
      </w:r>
      <w:r w:rsidR="00AD0B80">
        <w:rPr>
          <w:rFonts w:eastAsiaTheme="minorEastAsia"/>
          <w:sz w:val="20"/>
        </w:rPr>
        <w:t>:</w:t>
      </w:r>
    </w:p>
    <w:p w14:paraId="739660DE" w14:textId="2472E675" w:rsidR="00431471" w:rsidRPr="00431471" w:rsidRDefault="00AD0B80" w:rsidP="00AD0B80">
      <w:pPr>
        <w:pStyle w:val="ListParagraph"/>
        <w:numPr>
          <w:ilvl w:val="0"/>
          <w:numId w:val="60"/>
        </w:numPr>
        <w:jc w:val="both"/>
        <w:rPr>
          <w:sz w:val="20"/>
        </w:rPr>
      </w:pPr>
      <w:r>
        <w:rPr>
          <w:rFonts w:eastAsiaTheme="minorEastAsia"/>
          <w:sz w:val="20"/>
          <w:lang w:val="en-US"/>
        </w:rPr>
        <w:t xml:space="preserve">For SCS of 15 and </w:t>
      </w:r>
      <w:r w:rsidR="00FD389C">
        <w:rPr>
          <w:rFonts w:eastAsiaTheme="minorEastAsia"/>
          <w:sz w:val="20"/>
          <w:lang w:val="en-US"/>
        </w:rPr>
        <w:t xml:space="preserve">30kHz, </w:t>
      </w:r>
      <m:oMath>
        <m:r>
          <w:rPr>
            <w:rFonts w:ascii="Cambria Math" w:hAnsi="Cambria Math"/>
            <w:sz w:val="20"/>
          </w:rPr>
          <m:t>α</m:t>
        </m:r>
        <m:r>
          <w:rPr>
            <w:rFonts w:ascii="Cambria Math" w:eastAsiaTheme="minorEastAsia" w:hAnsi="Cambria Math"/>
            <w:sz w:val="20"/>
          </w:rPr>
          <m:t>=1</m:t>
        </m:r>
      </m:oMath>
      <w:r w:rsidR="00C10B40">
        <w:rPr>
          <w:rFonts w:eastAsiaTheme="minorEastAsia"/>
          <w:sz w:val="20"/>
          <w:lang w:val="en-US"/>
        </w:rPr>
        <w:t xml:space="preserve"> for the case of </w:t>
      </w:r>
      <w:r w:rsidR="00D8096F">
        <w:rPr>
          <w:rFonts w:eastAsiaTheme="minorEastAsia"/>
          <w:sz w:val="20"/>
          <w:lang w:val="en-US"/>
        </w:rPr>
        <w:t>PDCCH monitoring ends at 11</w:t>
      </w:r>
      <w:r w:rsidR="00D8096F" w:rsidRPr="00D8096F">
        <w:rPr>
          <w:rFonts w:eastAsiaTheme="minorEastAsia"/>
          <w:sz w:val="20"/>
          <w:vertAlign w:val="superscript"/>
          <w:lang w:val="en-US"/>
        </w:rPr>
        <w:t>th</w:t>
      </w:r>
      <w:r w:rsidR="00D8096F">
        <w:rPr>
          <w:rFonts w:eastAsiaTheme="minorEastAsia"/>
          <w:sz w:val="20"/>
          <w:lang w:val="en-US"/>
        </w:rPr>
        <w:t xml:space="preserve"> symbol</w:t>
      </w:r>
      <w:r w:rsidR="00D11FAD">
        <w:rPr>
          <w:rFonts w:eastAsiaTheme="minorEastAsia"/>
          <w:sz w:val="20"/>
          <w:lang w:val="en-US"/>
        </w:rPr>
        <w:t xml:space="preserve"> or larger</w:t>
      </w:r>
      <w:r w:rsidR="0036390F">
        <w:rPr>
          <w:rFonts w:eastAsiaTheme="minorEastAsia"/>
          <w:sz w:val="20"/>
          <w:lang w:val="en-US"/>
        </w:rPr>
        <w:t>;</w:t>
      </w:r>
      <w:r w:rsidR="00D8096F">
        <w:rPr>
          <w:rFonts w:eastAsiaTheme="minorEastAsia"/>
          <w:sz w:val="20"/>
          <w:lang w:val="en-US"/>
        </w:rPr>
        <w:t xml:space="preserve"> </w:t>
      </w:r>
      <w:r w:rsidR="0036390F">
        <w:rPr>
          <w:rFonts w:eastAsiaTheme="minorEastAsia"/>
          <w:sz w:val="20"/>
          <w:lang w:val="en-US"/>
        </w:rPr>
        <w:t>Otherwise,</w:t>
      </w:r>
      <w:r w:rsidR="00D8096F">
        <w:rPr>
          <w:rFonts w:eastAsiaTheme="minorEastAsia"/>
          <w:sz w:val="20"/>
          <w:lang w:val="en-US"/>
        </w:rPr>
        <w:t xml:space="preserve"> </w:t>
      </w:r>
      <m:oMath>
        <m:r>
          <w:rPr>
            <w:rFonts w:ascii="Cambria Math" w:hAnsi="Cambria Math"/>
            <w:sz w:val="20"/>
          </w:rPr>
          <m:t>α=0</m:t>
        </m:r>
      </m:oMath>
      <w:r w:rsidR="0036390F">
        <w:rPr>
          <w:rFonts w:eastAsiaTheme="minorEastAsia"/>
          <w:sz w:val="20"/>
          <w:lang w:val="en-US"/>
        </w:rPr>
        <w:t>.</w:t>
      </w:r>
    </w:p>
    <w:p w14:paraId="1D4C7CC6" w14:textId="12947FD1" w:rsidR="0011375E" w:rsidRPr="00185014" w:rsidRDefault="002A1EC4" w:rsidP="00AD0B80">
      <w:pPr>
        <w:pStyle w:val="ListParagraph"/>
        <w:numPr>
          <w:ilvl w:val="0"/>
          <w:numId w:val="60"/>
        </w:numPr>
        <w:jc w:val="both"/>
        <w:rPr>
          <w:sz w:val="20"/>
        </w:rPr>
      </w:pPr>
      <w:r>
        <w:rPr>
          <w:rFonts w:eastAsiaTheme="minorEastAsia"/>
          <w:sz w:val="20"/>
          <w:lang w:val="en-US"/>
        </w:rPr>
        <w:t xml:space="preserve">For SCS of 60kHz, </w:t>
      </w:r>
      <m:oMath>
        <m:r>
          <w:rPr>
            <w:rFonts w:ascii="Cambria Math" w:hAnsi="Cambria Math"/>
            <w:sz w:val="20"/>
          </w:rPr>
          <m:t>α</m:t>
        </m:r>
        <m:r>
          <w:rPr>
            <w:rFonts w:ascii="Cambria Math" w:eastAsiaTheme="minorEastAsia" w:hAnsi="Cambria Math"/>
            <w:sz w:val="20"/>
          </w:rPr>
          <m:t>=1</m:t>
        </m:r>
      </m:oMath>
      <w:r>
        <w:rPr>
          <w:rFonts w:eastAsiaTheme="minorEastAsia"/>
          <w:sz w:val="20"/>
          <w:lang w:val="en-US"/>
        </w:rPr>
        <w:t xml:space="preserve"> for the case of PDCCH monitoring ends at </w:t>
      </w:r>
      <w:r w:rsidR="00185014">
        <w:rPr>
          <w:rFonts w:eastAsiaTheme="minorEastAsia"/>
          <w:sz w:val="20"/>
          <w:lang w:val="en-US"/>
        </w:rPr>
        <w:t>7</w:t>
      </w:r>
      <w:r w:rsidRPr="00D8096F">
        <w:rPr>
          <w:rFonts w:eastAsiaTheme="minorEastAsia"/>
          <w:sz w:val="20"/>
          <w:vertAlign w:val="superscript"/>
          <w:lang w:val="en-US"/>
        </w:rPr>
        <w:t>th</w:t>
      </w:r>
      <w:r>
        <w:rPr>
          <w:rFonts w:eastAsiaTheme="minorEastAsia"/>
          <w:sz w:val="20"/>
          <w:lang w:val="en-US"/>
        </w:rPr>
        <w:t xml:space="preserve"> symbol</w:t>
      </w:r>
      <w:r w:rsidR="00333A95">
        <w:rPr>
          <w:rFonts w:eastAsiaTheme="minorEastAsia"/>
          <w:sz w:val="20"/>
          <w:lang w:val="en-US"/>
        </w:rPr>
        <w:t xml:space="preserve"> or larger</w:t>
      </w:r>
      <w:r>
        <w:rPr>
          <w:rFonts w:eastAsiaTheme="minorEastAsia"/>
          <w:sz w:val="20"/>
          <w:lang w:val="en-US"/>
        </w:rPr>
        <w:t xml:space="preserve">; Otherwise, </w:t>
      </w:r>
      <m:oMath>
        <m:r>
          <w:rPr>
            <w:rFonts w:ascii="Cambria Math" w:hAnsi="Cambria Math"/>
            <w:sz w:val="20"/>
          </w:rPr>
          <m:t>α=0</m:t>
        </m:r>
      </m:oMath>
      <w:r>
        <w:rPr>
          <w:rFonts w:eastAsiaTheme="minorEastAsia"/>
          <w:sz w:val="20"/>
          <w:lang w:val="en-US"/>
        </w:rPr>
        <w:t>.</w:t>
      </w:r>
    </w:p>
    <w:p w14:paraId="75458066" w14:textId="668E42BF" w:rsidR="00185014" w:rsidRPr="00AD0B80" w:rsidRDefault="00185014" w:rsidP="00AD0B80">
      <w:pPr>
        <w:pStyle w:val="ListParagraph"/>
        <w:numPr>
          <w:ilvl w:val="0"/>
          <w:numId w:val="60"/>
        </w:numPr>
        <w:jc w:val="both"/>
        <w:rPr>
          <w:sz w:val="20"/>
        </w:rPr>
      </w:pPr>
      <w:r>
        <w:rPr>
          <w:rFonts w:eastAsiaTheme="minorEastAsia"/>
          <w:sz w:val="20"/>
          <w:lang w:val="en-US"/>
        </w:rPr>
        <w:t xml:space="preserve">For SCS of 30kHz, </w:t>
      </w:r>
      <m:oMath>
        <m:r>
          <w:rPr>
            <w:rFonts w:ascii="Cambria Math" w:hAnsi="Cambria Math"/>
            <w:sz w:val="20"/>
          </w:rPr>
          <m:t>α</m:t>
        </m:r>
        <m:r>
          <w:rPr>
            <w:rFonts w:ascii="Cambria Math" w:eastAsiaTheme="minorEastAsia" w:hAnsi="Cambria Math"/>
            <w:sz w:val="20"/>
          </w:rPr>
          <m:t>=1</m:t>
        </m:r>
      </m:oMath>
      <w:r>
        <w:rPr>
          <w:rFonts w:eastAsiaTheme="minorEastAsia"/>
          <w:sz w:val="20"/>
          <w:lang w:val="en-US"/>
        </w:rPr>
        <w:t xml:space="preserve"> for the case of PDCCH monitoring ends at 3</w:t>
      </w:r>
      <w:r w:rsidRPr="00D8096F">
        <w:rPr>
          <w:rFonts w:eastAsiaTheme="minorEastAsia"/>
          <w:sz w:val="20"/>
          <w:vertAlign w:val="superscript"/>
          <w:lang w:val="en-US"/>
        </w:rPr>
        <w:t>th</w:t>
      </w:r>
      <w:r>
        <w:rPr>
          <w:rFonts w:eastAsiaTheme="minorEastAsia"/>
          <w:sz w:val="20"/>
          <w:lang w:val="en-US"/>
        </w:rPr>
        <w:t xml:space="preserve"> symbol</w:t>
      </w:r>
      <w:r w:rsidR="00333A95">
        <w:rPr>
          <w:rFonts w:eastAsiaTheme="minorEastAsia"/>
          <w:sz w:val="20"/>
          <w:lang w:val="en-US"/>
        </w:rPr>
        <w:t xml:space="preserve"> or larger</w:t>
      </w:r>
      <w:r>
        <w:rPr>
          <w:rFonts w:eastAsiaTheme="minorEastAsia"/>
          <w:sz w:val="20"/>
          <w:lang w:val="en-US"/>
        </w:rPr>
        <w:t xml:space="preserve">; Otherwise, </w:t>
      </w:r>
      <m:oMath>
        <m:r>
          <w:rPr>
            <w:rFonts w:ascii="Cambria Math" w:hAnsi="Cambria Math"/>
            <w:sz w:val="20"/>
          </w:rPr>
          <m:t>α=0</m:t>
        </m:r>
      </m:oMath>
      <w:r>
        <w:rPr>
          <w:rFonts w:eastAsiaTheme="minorEastAsia"/>
          <w:sz w:val="20"/>
          <w:lang w:val="en-US"/>
        </w:rPr>
        <w:t>.</w:t>
      </w:r>
    </w:p>
    <w:p w14:paraId="050AED21" w14:textId="77777777" w:rsidR="00880B70" w:rsidRPr="00185014" w:rsidRDefault="00880B70" w:rsidP="00084494">
      <w:pPr>
        <w:jc w:val="both"/>
        <w:rPr>
          <w:color w:val="FF0000"/>
          <w:sz w:val="20"/>
          <w:lang w:val="x-none"/>
        </w:rPr>
      </w:pPr>
    </w:p>
    <w:p w14:paraId="42634561" w14:textId="4FDDB838" w:rsidR="00B278A4" w:rsidRPr="00B17433" w:rsidRDefault="00BA3BA2" w:rsidP="00084494">
      <w:pPr>
        <w:pStyle w:val="Proposal"/>
        <w:numPr>
          <w:ilvl w:val="0"/>
          <w:numId w:val="3"/>
        </w:numPr>
        <w:tabs>
          <w:tab w:val="clear" w:pos="1304"/>
        </w:tabs>
        <w:ind w:left="1701" w:hanging="1701"/>
        <w:rPr>
          <w:rFonts w:cs="Arial"/>
          <w:sz w:val="20"/>
        </w:rPr>
      </w:pPr>
      <w:bookmarkStart w:id="11" w:name="_Toc24137500"/>
      <w:r>
        <w:rPr>
          <w:rFonts w:cs="Arial"/>
          <w:sz w:val="20"/>
        </w:rPr>
        <w:t>For PDCCH monitoring case 1-2 or PDCCH monitoring case 2</w:t>
      </w:r>
      <w:r w:rsidR="00A41C33">
        <w:rPr>
          <w:rFonts w:cs="Arial"/>
          <w:sz w:val="20"/>
        </w:rPr>
        <w:t xml:space="preserve">, additional factor can be added to the application delay </w:t>
      </w:r>
      <w:r w:rsidR="00134E50">
        <w:rPr>
          <w:rFonts w:cs="Arial"/>
          <w:sz w:val="20"/>
        </w:rPr>
        <w:t xml:space="preserve">calculation </w:t>
      </w:r>
      <w:r w:rsidR="00724930">
        <w:rPr>
          <w:rFonts w:cs="Arial"/>
          <w:sz w:val="20"/>
        </w:rPr>
        <w:t xml:space="preserve">by considering the SCS and the </w:t>
      </w:r>
      <w:r w:rsidR="00927965">
        <w:rPr>
          <w:rFonts w:cs="Arial"/>
          <w:sz w:val="20"/>
        </w:rPr>
        <w:t>location of the</w:t>
      </w:r>
      <w:r w:rsidR="00834936">
        <w:rPr>
          <w:rFonts w:cs="Arial"/>
          <w:sz w:val="20"/>
        </w:rPr>
        <w:t xml:space="preserve"> last symbol </w:t>
      </w:r>
      <w:r w:rsidR="00E86299">
        <w:rPr>
          <w:rFonts w:cs="Arial"/>
          <w:sz w:val="20"/>
        </w:rPr>
        <w:t>of the PDCCH MO</w:t>
      </w:r>
      <w:r w:rsidR="00256B29" w:rsidRPr="00B70A53">
        <w:rPr>
          <w:rFonts w:cs="Arial"/>
          <w:sz w:val="20"/>
        </w:rPr>
        <w:t>.</w:t>
      </w:r>
      <w:bookmarkEnd w:id="11"/>
    </w:p>
    <w:p w14:paraId="3FBF0841" w14:textId="40EC9BF2" w:rsidR="006C63E3" w:rsidRPr="007C11CD" w:rsidRDefault="006C63E3" w:rsidP="006C63E3">
      <w:pPr>
        <w:pStyle w:val="Heading3"/>
        <w:rPr>
          <w:sz w:val="24"/>
          <w:lang w:val="en-US"/>
        </w:rPr>
      </w:pPr>
      <w:r w:rsidRPr="007C11CD">
        <w:rPr>
          <w:sz w:val="24"/>
          <w:lang w:val="en-US"/>
        </w:rPr>
        <w:t>2.4</w:t>
      </w:r>
      <w:r>
        <w:rPr>
          <w:sz w:val="24"/>
          <w:lang w:val="en-US"/>
        </w:rPr>
        <w:t>.</w:t>
      </w:r>
      <w:r w:rsidR="00C61AEC">
        <w:rPr>
          <w:sz w:val="24"/>
          <w:lang w:val="en-US"/>
        </w:rPr>
        <w:t>4</w:t>
      </w:r>
      <w:r w:rsidRPr="007C11CD">
        <w:rPr>
          <w:sz w:val="24"/>
          <w:lang w:val="en-US"/>
        </w:rPr>
        <w:tab/>
      </w:r>
      <w:r>
        <w:rPr>
          <w:sz w:val="24"/>
          <w:lang w:val="en-US"/>
        </w:rPr>
        <w:t>Maximum application delay</w:t>
      </w:r>
    </w:p>
    <w:p w14:paraId="3EFEB3A9" w14:textId="381F9264" w:rsidR="00837897" w:rsidRPr="005623A2" w:rsidRDefault="006C63E3" w:rsidP="005623A2">
      <w:pPr>
        <w:jc w:val="both"/>
        <w:rPr>
          <w:sz w:val="20"/>
          <w:lang w:eastAsia="ja-JP"/>
        </w:rPr>
      </w:pPr>
      <w:r>
        <w:rPr>
          <w:sz w:val="20"/>
          <w:lang w:eastAsia="ja-JP"/>
        </w:rPr>
        <w:t>A</w:t>
      </w:r>
      <w:r w:rsidR="00B56759">
        <w:rPr>
          <w:sz w:val="20"/>
          <w:lang w:eastAsia="ja-JP"/>
        </w:rPr>
        <w:t xml:space="preserve">s </w:t>
      </w:r>
      <w:r w:rsidR="00B56759" w:rsidRPr="00B56759">
        <w:rPr>
          <w:sz w:val="20"/>
          <w:lang w:eastAsia="ja-JP"/>
        </w:rPr>
        <w:t>mentioned in our previous proposal, it is beneficial to keep the value of minK0 to be, at least, not too large, i.e. as far as it allows the UE to benefit from CS-feature). This is to ensure that the additional delay or UPT loss is not much and the UE also can go to DRX-cycle quicker and benefiting from light or deep sleep. For example, the minK0 value can be limited to 4 for the case</w:t>
      </w:r>
      <w:r w:rsidR="00D702C1">
        <w:rPr>
          <w:sz w:val="20"/>
          <w:lang w:eastAsia="ja-JP"/>
        </w:rPr>
        <w:t>s of same-carrier scheduling and cross-carrier scheduling with the same numerology. The larger value of minK0 (e.g. 8 and 16) can be used to accommodate cross-carrier scheduling with mixed numerologies. Having this limitation, introducing the maximum application delay of applying new minK0 value will not be necessary.</w:t>
      </w:r>
    </w:p>
    <w:p w14:paraId="69718F09" w14:textId="3E2929A2" w:rsidR="00E6459B" w:rsidRPr="007C56C4" w:rsidRDefault="0071136D" w:rsidP="007C56C4">
      <w:pPr>
        <w:pStyle w:val="Heading2"/>
        <w:rPr>
          <w:sz w:val="28"/>
          <w:lang w:val="en-US"/>
        </w:rPr>
      </w:pPr>
      <w:r w:rsidRPr="008D73CF">
        <w:rPr>
          <w:sz w:val="28"/>
          <w:lang w:val="en-US"/>
        </w:rPr>
        <w:t>2.</w:t>
      </w:r>
      <w:r w:rsidR="00875EA6">
        <w:rPr>
          <w:sz w:val="28"/>
          <w:lang w:val="en-US"/>
        </w:rPr>
        <w:t>5</w:t>
      </w:r>
      <w:r w:rsidRPr="008D73CF">
        <w:rPr>
          <w:sz w:val="28"/>
          <w:lang w:val="en-US"/>
        </w:rPr>
        <w:tab/>
      </w:r>
      <w:r w:rsidR="00A174AF">
        <w:rPr>
          <w:sz w:val="28"/>
          <w:lang w:val="en-US"/>
        </w:rPr>
        <w:t>BWP-switch</w:t>
      </w:r>
      <w:r w:rsidR="007C56C4">
        <w:rPr>
          <w:sz w:val="28"/>
          <w:lang w:val="en-US"/>
        </w:rPr>
        <w:t xml:space="preserve"> delay</w:t>
      </w:r>
    </w:p>
    <w:p w14:paraId="6B73DF03" w14:textId="573F6F3F" w:rsidR="0097212D" w:rsidRPr="0097212D" w:rsidRDefault="0097212D" w:rsidP="008D73CF">
      <w:pPr>
        <w:rPr>
          <w:i/>
          <w:sz w:val="20"/>
          <w:u w:val="single"/>
          <w:lang w:eastAsia="ja-JP"/>
        </w:rPr>
      </w:pPr>
      <w:r w:rsidRPr="0097212D">
        <w:rPr>
          <w:i/>
          <w:sz w:val="20"/>
          <w:u w:val="single"/>
          <w:lang w:eastAsia="ja-JP"/>
        </w:rPr>
        <w:t>MinK0 consideration towards BWP-switch delay</w:t>
      </w:r>
    </w:p>
    <w:p w14:paraId="2ED3EF0E" w14:textId="3B2F0A5F" w:rsidR="00206A2A" w:rsidRDefault="00496962" w:rsidP="00665DA2">
      <w:pPr>
        <w:jc w:val="both"/>
        <w:rPr>
          <w:sz w:val="20"/>
          <w:lang w:eastAsia="ja-JP"/>
        </w:rPr>
      </w:pPr>
      <w:r>
        <w:rPr>
          <w:sz w:val="20"/>
          <w:lang w:eastAsia="ja-JP"/>
        </w:rPr>
        <w:t>Power-saving gain obtained by using CS-feature mainly comes from the fact that the UE does not need to do PDSCH buffering (i.e. could turn off the RF part) during the PDCCH monitoring.</w:t>
      </w:r>
      <w:r w:rsidR="00665DA2">
        <w:rPr>
          <w:sz w:val="20"/>
          <w:lang w:eastAsia="ja-JP"/>
        </w:rPr>
        <w:t xml:space="preserve"> In this case, the DCI processing time will be the same regardless the UE is in the CS-state or in the SS-state. On the other words, decoding of the CSIF and K0 value </w:t>
      </w:r>
      <w:r w:rsidR="00665DA2">
        <w:rPr>
          <w:sz w:val="20"/>
          <w:lang w:eastAsia="ja-JP"/>
        </w:rPr>
        <w:lastRenderedPageBreak/>
        <w:t>should already be done before new BWP applies. Therefore, the UE should be able to start receiving the PDSCH in the new BWP as long as the K0 value satisfies the minK0 value. Adding minK0 value to the BWP-switch delay in this case might cause unnecessary additional delay for the transmission.</w:t>
      </w:r>
      <w:r w:rsidR="00505485">
        <w:rPr>
          <w:sz w:val="20"/>
          <w:lang w:eastAsia="ja-JP"/>
        </w:rPr>
        <w:t xml:space="preserve"> However, it also need</w:t>
      </w:r>
      <w:r w:rsidR="00E5307B">
        <w:rPr>
          <w:sz w:val="20"/>
          <w:lang w:eastAsia="ja-JP"/>
        </w:rPr>
        <w:t>s</w:t>
      </w:r>
      <w:r w:rsidR="00505485">
        <w:rPr>
          <w:sz w:val="20"/>
          <w:lang w:eastAsia="ja-JP"/>
        </w:rPr>
        <w:t xml:space="preserve"> to be ensured that the same gap from end of PDCCH and first symbol of PDSCH is also applicable across BWP switches.</w:t>
      </w:r>
    </w:p>
    <w:p w14:paraId="547A4CE8" w14:textId="3EBED8D3" w:rsidR="00202D2E" w:rsidRPr="00B70A53" w:rsidRDefault="00525682" w:rsidP="00202D2E">
      <w:pPr>
        <w:pStyle w:val="Observation"/>
        <w:rPr>
          <w:rFonts w:cs="Arial"/>
          <w:sz w:val="20"/>
        </w:rPr>
      </w:pPr>
      <w:bookmarkStart w:id="12" w:name="_Toc24130802"/>
      <w:r>
        <w:rPr>
          <w:rFonts w:cs="Arial"/>
          <w:sz w:val="20"/>
        </w:rPr>
        <w:t xml:space="preserve">Additional </w:t>
      </w:r>
      <w:r w:rsidRPr="00525682">
        <w:rPr>
          <w:rFonts w:cs="Arial"/>
          <w:sz w:val="20"/>
        </w:rPr>
        <w:t xml:space="preserve">delay </w:t>
      </w:r>
      <w:r w:rsidR="00766FF2">
        <w:rPr>
          <w:rFonts w:cs="Arial"/>
          <w:sz w:val="20"/>
        </w:rPr>
        <w:t>for</w:t>
      </w:r>
      <w:r w:rsidRPr="00525682">
        <w:rPr>
          <w:rFonts w:cs="Arial"/>
          <w:sz w:val="20"/>
        </w:rPr>
        <w:t xml:space="preserve"> BWP-switch due to the implementation of CS feature is not required </w:t>
      </w:r>
      <w:r w:rsidR="00134E50">
        <w:rPr>
          <w:rFonts w:cs="Arial"/>
          <w:sz w:val="20"/>
        </w:rPr>
        <w:t xml:space="preserve"> - </w:t>
      </w:r>
      <w:r w:rsidRPr="00525682">
        <w:rPr>
          <w:rFonts w:cs="Arial"/>
          <w:sz w:val="20"/>
        </w:rPr>
        <w:t xml:space="preserve">same gap between PDCCH end and 1st symbol of PDSCH can </w:t>
      </w:r>
      <w:r w:rsidR="004877CC">
        <w:rPr>
          <w:rFonts w:cs="Arial"/>
          <w:sz w:val="20"/>
        </w:rPr>
        <w:t xml:space="preserve">be </w:t>
      </w:r>
      <w:r w:rsidRPr="00525682">
        <w:rPr>
          <w:rFonts w:cs="Arial"/>
          <w:sz w:val="20"/>
        </w:rPr>
        <w:t xml:space="preserve">applicable </w:t>
      </w:r>
      <w:r w:rsidR="00766FF2">
        <w:rPr>
          <w:rFonts w:cs="Arial"/>
          <w:sz w:val="20"/>
        </w:rPr>
        <w:t xml:space="preserve">for scheduling </w:t>
      </w:r>
      <w:r w:rsidRPr="00525682">
        <w:rPr>
          <w:rFonts w:cs="Arial"/>
          <w:sz w:val="20"/>
        </w:rPr>
        <w:t>across BWP switching</w:t>
      </w:r>
      <w:r w:rsidR="00202D2E">
        <w:rPr>
          <w:rFonts w:cs="Arial"/>
          <w:sz w:val="20"/>
        </w:rPr>
        <w:t>.</w:t>
      </w:r>
      <w:bookmarkEnd w:id="12"/>
    </w:p>
    <w:p w14:paraId="39851F90" w14:textId="77777777" w:rsidR="00C06CCE" w:rsidRPr="001F12DE" w:rsidRDefault="00C06CCE" w:rsidP="00734457">
      <w:pPr>
        <w:jc w:val="both"/>
        <w:rPr>
          <w:sz w:val="20"/>
          <w:lang w:eastAsia="ja-JP"/>
        </w:rPr>
      </w:pPr>
    </w:p>
    <w:p w14:paraId="1DED2A12" w14:textId="2B552C7D" w:rsidR="00FD6C22" w:rsidRDefault="00FD6C22" w:rsidP="00FD6C22">
      <w:pPr>
        <w:pStyle w:val="Heading2"/>
        <w:rPr>
          <w:sz w:val="28"/>
          <w:lang w:val="en-US"/>
        </w:rPr>
      </w:pPr>
      <w:r w:rsidRPr="00FD6C22">
        <w:rPr>
          <w:sz w:val="28"/>
          <w:lang w:val="en-US"/>
        </w:rPr>
        <w:t>2.</w:t>
      </w:r>
      <w:r w:rsidR="00AC2D9F">
        <w:rPr>
          <w:sz w:val="28"/>
          <w:lang w:val="en-US"/>
        </w:rPr>
        <w:t>6</w:t>
      </w:r>
      <w:r w:rsidRPr="00FD6C22">
        <w:rPr>
          <w:sz w:val="28"/>
          <w:lang w:val="en-US"/>
        </w:rPr>
        <w:tab/>
      </w:r>
      <w:r w:rsidR="00701A81">
        <w:rPr>
          <w:sz w:val="28"/>
          <w:lang w:val="en-US"/>
        </w:rPr>
        <w:t xml:space="preserve">UE </w:t>
      </w:r>
      <w:r w:rsidR="00766FF2">
        <w:rPr>
          <w:sz w:val="28"/>
          <w:lang w:val="en-US"/>
        </w:rPr>
        <w:t xml:space="preserve">suggested values </w:t>
      </w:r>
    </w:p>
    <w:p w14:paraId="07D06459" w14:textId="2AC93106" w:rsidR="00253FD7" w:rsidRPr="00253FD7" w:rsidRDefault="00253FD7" w:rsidP="00253FD7">
      <w:pPr>
        <w:pStyle w:val="Heading3"/>
        <w:rPr>
          <w:sz w:val="24"/>
          <w:lang w:val="en-US"/>
        </w:rPr>
      </w:pPr>
      <w:r w:rsidRPr="007C11CD">
        <w:rPr>
          <w:sz w:val="24"/>
          <w:lang w:val="en-US"/>
        </w:rPr>
        <w:t>2.</w:t>
      </w:r>
      <w:r>
        <w:rPr>
          <w:sz w:val="24"/>
          <w:lang w:val="en-US"/>
        </w:rPr>
        <w:t>6.</w:t>
      </w:r>
      <w:r w:rsidR="00155354">
        <w:rPr>
          <w:sz w:val="24"/>
          <w:lang w:val="en-US"/>
        </w:rPr>
        <w:t>1</w:t>
      </w:r>
      <w:r w:rsidRPr="007C11CD">
        <w:rPr>
          <w:sz w:val="24"/>
          <w:lang w:val="en-US"/>
        </w:rPr>
        <w:tab/>
      </w:r>
      <w:r w:rsidR="00155354">
        <w:rPr>
          <w:sz w:val="24"/>
          <w:lang w:val="en-US"/>
        </w:rPr>
        <w:t>Value limitation</w:t>
      </w:r>
    </w:p>
    <w:p w14:paraId="75893E5A" w14:textId="4176DB85" w:rsidR="00AC2D9F" w:rsidRDefault="000C1E85" w:rsidP="00BD0EB2">
      <w:pPr>
        <w:jc w:val="both"/>
        <w:rPr>
          <w:sz w:val="20"/>
          <w:lang w:eastAsia="ja-JP"/>
        </w:rPr>
      </w:pPr>
      <w:r>
        <w:rPr>
          <w:sz w:val="20"/>
          <w:lang w:eastAsia="ja-JP"/>
        </w:rPr>
        <w:t>While it has been shown from the evaluation during SI that the maximum power saving and smallest UPT loss could come from set the K0 value to be as small as possible, i.e. 1; the UE might, for some reasons, expecting to have a larger value of minK0. This preference can be reported through user assistance.</w:t>
      </w:r>
      <w:r w:rsidR="0022058F">
        <w:rPr>
          <w:sz w:val="20"/>
          <w:lang w:eastAsia="ja-JP"/>
        </w:rPr>
        <w:t xml:space="preserve"> From previous meeting, it has been agreed that the preferred value is reported separately for each SCS.</w:t>
      </w:r>
    </w:p>
    <w:p w14:paraId="47DF6575" w14:textId="5E014355" w:rsidR="00770A2F" w:rsidRDefault="0022058F" w:rsidP="00BD0EB2">
      <w:pPr>
        <w:jc w:val="both"/>
        <w:rPr>
          <w:sz w:val="20"/>
          <w:lang w:eastAsia="ja-JP"/>
        </w:rPr>
      </w:pPr>
      <w:r>
        <w:rPr>
          <w:sz w:val="20"/>
          <w:lang w:eastAsia="ja-JP"/>
        </w:rPr>
        <w:t xml:space="preserve">As in general the minK0 value is used to somewhat relax the PDCCH processing, it makes sense that the preferred value suggested by the UE takes the scheduling PDCCH numerology as consideration. </w:t>
      </w:r>
      <w:r w:rsidR="00770A2F">
        <w:rPr>
          <w:sz w:val="20"/>
          <w:lang w:eastAsia="ja-JP"/>
        </w:rPr>
        <w:t xml:space="preserve">For the case of cross-carrier with mixed numerologies, the NW than can infer the preferred minK0 value for the scheduled CC from the suggested minK0 value of the scheduling CC. </w:t>
      </w:r>
    </w:p>
    <w:p w14:paraId="5E96F7C8" w14:textId="65ADE1CA" w:rsidR="009A75E3" w:rsidRDefault="00770A2F" w:rsidP="00BD0EB2">
      <w:pPr>
        <w:jc w:val="both"/>
        <w:rPr>
          <w:sz w:val="20"/>
          <w:lang w:eastAsia="ja-JP"/>
        </w:rPr>
      </w:pPr>
      <w:r>
        <w:rPr>
          <w:sz w:val="20"/>
          <w:lang w:eastAsia="ja-JP"/>
        </w:rPr>
        <w:t>In line with our proposal in the previous section, we believe that minK0 value less than or equal to 4 is sufficient for</w:t>
      </w:r>
      <w:r w:rsidR="00FD67F0">
        <w:rPr>
          <w:sz w:val="20"/>
          <w:lang w:eastAsia="ja-JP"/>
        </w:rPr>
        <w:t xml:space="preserve"> same-carrier scheduling and cross-carrier scheduling with same numerology</w:t>
      </w:r>
      <w:r w:rsidR="00B804E5">
        <w:rPr>
          <w:sz w:val="20"/>
          <w:lang w:eastAsia="ja-JP"/>
        </w:rPr>
        <w:t xml:space="preserve"> case</w:t>
      </w:r>
      <w:r w:rsidR="00FD67F0">
        <w:rPr>
          <w:sz w:val="20"/>
          <w:lang w:eastAsia="ja-JP"/>
        </w:rPr>
        <w:t xml:space="preserve"> (i.e. large value of minK0 is only used to accommodate cross</w:t>
      </w:r>
      <w:r w:rsidR="00006B35">
        <w:rPr>
          <w:sz w:val="20"/>
          <w:lang w:eastAsia="ja-JP"/>
        </w:rPr>
        <w:t>-carrier scheduling with mixed numerologies).</w:t>
      </w:r>
      <w:r w:rsidR="008C5F2F">
        <w:rPr>
          <w:sz w:val="20"/>
          <w:lang w:eastAsia="ja-JP"/>
        </w:rPr>
        <w:t xml:space="preserve"> </w:t>
      </w:r>
      <w:r w:rsidR="009A75E3">
        <w:rPr>
          <w:sz w:val="20"/>
          <w:lang w:eastAsia="ja-JP"/>
        </w:rPr>
        <w:t>Considering th</w:t>
      </w:r>
      <w:r w:rsidR="008C5F2F">
        <w:rPr>
          <w:sz w:val="20"/>
          <w:lang w:eastAsia="ja-JP"/>
        </w:rPr>
        <w:t>is</w:t>
      </w:r>
      <w:r w:rsidR="009A75E3">
        <w:rPr>
          <w:sz w:val="20"/>
          <w:lang w:eastAsia="ja-JP"/>
        </w:rPr>
        <w:t>, a range of the preferred minK0 suggested by the UE can be</w:t>
      </w:r>
      <w:r w:rsidR="000A0560">
        <w:rPr>
          <w:sz w:val="20"/>
          <w:lang w:eastAsia="ja-JP"/>
        </w:rPr>
        <w:t xml:space="preserve"> upper</w:t>
      </w:r>
      <w:r w:rsidR="009A75E3">
        <w:rPr>
          <w:sz w:val="20"/>
          <w:lang w:eastAsia="ja-JP"/>
        </w:rPr>
        <w:t xml:space="preserve"> limited </w:t>
      </w:r>
      <w:r w:rsidR="000A0560">
        <w:rPr>
          <w:sz w:val="20"/>
          <w:lang w:eastAsia="ja-JP"/>
        </w:rPr>
        <w:t>by</w:t>
      </w:r>
      <w:r w:rsidR="009A75E3">
        <w:rPr>
          <w:sz w:val="20"/>
          <w:lang w:eastAsia="ja-JP"/>
        </w:rPr>
        <w:t xml:space="preserve"> </w:t>
      </w:r>
      <w:r w:rsidR="008C5F2F">
        <w:rPr>
          <w:sz w:val="20"/>
          <w:lang w:eastAsia="ja-JP"/>
        </w:rPr>
        <w:t>(2, 2, 4, 4)</w:t>
      </w:r>
      <w:r w:rsidR="000A0560">
        <w:rPr>
          <w:sz w:val="20"/>
          <w:lang w:eastAsia="ja-JP"/>
        </w:rPr>
        <w:t xml:space="preserve"> slots</w:t>
      </w:r>
      <w:r w:rsidR="008C5F2F">
        <w:rPr>
          <w:sz w:val="20"/>
          <w:lang w:eastAsia="ja-JP"/>
        </w:rPr>
        <w:t xml:space="preserve"> for the case of SCS of (15, 30, 60, 120)</w:t>
      </w:r>
      <w:r w:rsidR="000A0560">
        <w:rPr>
          <w:sz w:val="20"/>
          <w:lang w:eastAsia="ja-JP"/>
        </w:rPr>
        <w:t xml:space="preserve"> kHz</w:t>
      </w:r>
      <w:r w:rsidR="008C5F2F">
        <w:rPr>
          <w:sz w:val="20"/>
          <w:lang w:eastAsia="ja-JP"/>
        </w:rPr>
        <w:t>, respectively.</w:t>
      </w:r>
    </w:p>
    <w:p w14:paraId="38DFE62A" w14:textId="5F3CBC22" w:rsidR="002D0DB1" w:rsidRDefault="000A0560" w:rsidP="002D0DB1">
      <w:pPr>
        <w:pStyle w:val="Proposal"/>
        <w:numPr>
          <w:ilvl w:val="0"/>
          <w:numId w:val="3"/>
        </w:numPr>
        <w:tabs>
          <w:tab w:val="clear" w:pos="1304"/>
        </w:tabs>
        <w:ind w:left="1701" w:hanging="1701"/>
        <w:rPr>
          <w:rFonts w:cs="Arial"/>
          <w:sz w:val="20"/>
        </w:rPr>
      </w:pPr>
      <w:bookmarkStart w:id="13" w:name="_Toc24137501"/>
      <w:r>
        <w:rPr>
          <w:rFonts w:cs="Arial"/>
          <w:sz w:val="20"/>
        </w:rPr>
        <w:t>Consider a range of UE-suggested minK0 value to be from 1 to (2, 2, 4, 4) slots for SCS of (15, 30, 60,</w:t>
      </w:r>
      <w:r w:rsidR="00715307">
        <w:rPr>
          <w:rFonts w:cs="Arial"/>
          <w:sz w:val="20"/>
        </w:rPr>
        <w:t xml:space="preserve"> 120</w:t>
      </w:r>
      <w:r>
        <w:rPr>
          <w:rFonts w:cs="Arial"/>
          <w:sz w:val="20"/>
        </w:rPr>
        <w:t>)</w:t>
      </w:r>
      <w:r w:rsidR="00715307">
        <w:rPr>
          <w:rFonts w:cs="Arial"/>
          <w:sz w:val="20"/>
        </w:rPr>
        <w:t xml:space="preserve"> kHz, respectively.</w:t>
      </w:r>
      <w:bookmarkEnd w:id="13"/>
    </w:p>
    <w:p w14:paraId="380A5917" w14:textId="77777777" w:rsidR="002D0DB1" w:rsidRPr="002D0DB1" w:rsidRDefault="002D0DB1" w:rsidP="002D0DB1">
      <w:pPr>
        <w:pStyle w:val="Proposal"/>
        <w:numPr>
          <w:ilvl w:val="0"/>
          <w:numId w:val="0"/>
        </w:numPr>
        <w:rPr>
          <w:rFonts w:cs="Arial"/>
          <w:sz w:val="20"/>
        </w:rPr>
      </w:pPr>
    </w:p>
    <w:p w14:paraId="5101CA0C" w14:textId="41A3FAED" w:rsidR="002D0DB1" w:rsidRPr="00253FD7" w:rsidRDefault="002D0DB1" w:rsidP="002D0DB1">
      <w:pPr>
        <w:pStyle w:val="Heading3"/>
        <w:rPr>
          <w:sz w:val="24"/>
          <w:lang w:val="en-US"/>
        </w:rPr>
      </w:pPr>
      <w:r w:rsidRPr="007C11CD">
        <w:rPr>
          <w:sz w:val="24"/>
          <w:lang w:val="en-US"/>
        </w:rPr>
        <w:t>2.</w:t>
      </w:r>
      <w:r>
        <w:rPr>
          <w:sz w:val="24"/>
          <w:lang w:val="en-US"/>
        </w:rPr>
        <w:t>6.</w:t>
      </w:r>
      <w:r w:rsidR="008A08C9">
        <w:rPr>
          <w:sz w:val="24"/>
          <w:lang w:val="en-US"/>
        </w:rPr>
        <w:t>2</w:t>
      </w:r>
      <w:r w:rsidRPr="007C11CD">
        <w:rPr>
          <w:sz w:val="24"/>
          <w:lang w:val="en-US"/>
        </w:rPr>
        <w:tab/>
      </w:r>
      <w:r w:rsidR="00B7737F">
        <w:rPr>
          <w:sz w:val="24"/>
          <w:lang w:val="en-US"/>
        </w:rPr>
        <w:t>Deriving</w:t>
      </w:r>
      <w:r w:rsidR="00981B48">
        <w:rPr>
          <w:sz w:val="24"/>
          <w:lang w:val="en-US"/>
        </w:rPr>
        <w:t xml:space="preserve"> the suggested minK0 value for cross-carrier scheduling.</w:t>
      </w:r>
    </w:p>
    <w:p w14:paraId="042A1F7E" w14:textId="745CFED3" w:rsidR="003D6E54" w:rsidRDefault="00981B48" w:rsidP="002D0DB1">
      <w:pPr>
        <w:jc w:val="both"/>
        <w:rPr>
          <w:sz w:val="20"/>
          <w:lang w:eastAsia="ja-JP"/>
        </w:rPr>
      </w:pPr>
      <w:r>
        <w:rPr>
          <w:sz w:val="20"/>
          <w:lang w:eastAsia="ja-JP"/>
        </w:rPr>
        <w:t xml:space="preserve">For the case of </w:t>
      </w:r>
      <w:r w:rsidR="00383587">
        <w:rPr>
          <w:sz w:val="20"/>
          <w:lang w:eastAsia="ja-JP"/>
        </w:rPr>
        <w:t xml:space="preserve">cross-carrier scheduling with mixed </w:t>
      </w:r>
      <w:r w:rsidR="00176F02">
        <w:rPr>
          <w:sz w:val="20"/>
          <w:lang w:eastAsia="ja-JP"/>
        </w:rPr>
        <w:t>numerologies</w:t>
      </w:r>
      <w:r>
        <w:rPr>
          <w:sz w:val="20"/>
          <w:lang w:eastAsia="ja-JP"/>
        </w:rPr>
        <w:t xml:space="preserve">, </w:t>
      </w:r>
      <w:r w:rsidR="003D6E54">
        <w:rPr>
          <w:sz w:val="20"/>
          <w:lang w:eastAsia="ja-JP"/>
        </w:rPr>
        <w:t xml:space="preserve">there can be two options. First, the suggested value by the UE already considers the possibility of cross-carrier scheduling with mixed numerologies. Using this option, the NW does not need to derive the </w:t>
      </w:r>
      <w:r w:rsidR="00A048E4">
        <w:rPr>
          <w:sz w:val="20"/>
          <w:lang w:eastAsia="ja-JP"/>
        </w:rPr>
        <w:t>MinK0 value and could directly apply to the respected SCS regardless it is in the cross-carrier scheduling or same-carrier scheduling. This approach, however, will make the UE always suggest a large value and is not beneficial in when the UE is in the same-carrier scheduling with same numerology.</w:t>
      </w:r>
    </w:p>
    <w:p w14:paraId="18607815" w14:textId="6B0653B0" w:rsidR="00770A2F" w:rsidRDefault="002A6CB8" w:rsidP="002D0DB1">
      <w:pPr>
        <w:jc w:val="both"/>
        <w:rPr>
          <w:sz w:val="20"/>
          <w:lang w:eastAsia="ja-JP"/>
        </w:rPr>
      </w:pPr>
      <w:r>
        <w:rPr>
          <w:sz w:val="20"/>
          <w:lang w:eastAsia="ja-JP"/>
        </w:rPr>
        <w:t>In the second approach, the UE suggest the minK0 value based on the assumption of same-carrier scheduling. Using this approach, the NW needs to derive the preferred minK0 value, should the NW will schedule the UE using cross-carrier scheduling with mixed numerologies.</w:t>
      </w:r>
      <w:r w:rsidR="00A16DA2">
        <w:rPr>
          <w:sz w:val="20"/>
          <w:lang w:eastAsia="ja-JP"/>
        </w:rPr>
        <w:t xml:space="preserve"> Using this approach, a relatively large minK0 value will only be used in the cross-carrier scheduling with mixed numerologies</w:t>
      </w:r>
      <w:r w:rsidR="00DA13D7">
        <w:rPr>
          <w:sz w:val="20"/>
          <w:lang w:eastAsia="ja-JP"/>
        </w:rPr>
        <w:t>, and thus, a better option.</w:t>
      </w:r>
      <w:r w:rsidR="00EB1979">
        <w:rPr>
          <w:sz w:val="20"/>
          <w:lang w:eastAsia="ja-JP"/>
        </w:rPr>
        <w:t xml:space="preserve"> </w:t>
      </w:r>
      <w:r w:rsidR="00A204DE">
        <w:rPr>
          <w:sz w:val="20"/>
          <w:lang w:eastAsia="ja-JP"/>
        </w:rPr>
        <w:t xml:space="preserve">In </w:t>
      </w:r>
      <w:r w:rsidR="00EB1979">
        <w:rPr>
          <w:sz w:val="20"/>
          <w:lang w:eastAsia="ja-JP"/>
        </w:rPr>
        <w:t>deriving the preferred minK0 value</w:t>
      </w:r>
      <w:r w:rsidR="00A204DE">
        <w:rPr>
          <w:sz w:val="20"/>
          <w:lang w:eastAsia="ja-JP"/>
        </w:rPr>
        <w:t>, several factors need to be considered:</w:t>
      </w:r>
    </w:p>
    <w:p w14:paraId="6AF6AEF8" w14:textId="7571F6C2" w:rsidR="00A204DE" w:rsidRPr="00A204DE" w:rsidRDefault="00A204DE" w:rsidP="00A204DE">
      <w:pPr>
        <w:pStyle w:val="ListParagraph"/>
        <w:numPr>
          <w:ilvl w:val="0"/>
          <w:numId w:val="58"/>
        </w:numPr>
        <w:jc w:val="both"/>
        <w:rPr>
          <w:sz w:val="20"/>
          <w:lang w:eastAsia="ja-JP"/>
        </w:rPr>
      </w:pPr>
      <w:r>
        <w:rPr>
          <w:sz w:val="20"/>
          <w:lang w:val="en-US" w:eastAsia="ja-JP"/>
        </w:rPr>
        <w:t>The minK0 value suggested for the SCS used in the scheduling CC.</w:t>
      </w:r>
    </w:p>
    <w:p w14:paraId="30147986" w14:textId="2AE93C13" w:rsidR="00A204DE" w:rsidRPr="00A204DE" w:rsidRDefault="00A204DE" w:rsidP="00A204DE">
      <w:pPr>
        <w:pStyle w:val="ListParagraph"/>
        <w:numPr>
          <w:ilvl w:val="0"/>
          <w:numId w:val="58"/>
        </w:numPr>
        <w:jc w:val="both"/>
        <w:rPr>
          <w:sz w:val="20"/>
          <w:lang w:eastAsia="ja-JP"/>
        </w:rPr>
      </w:pPr>
      <w:r>
        <w:rPr>
          <w:sz w:val="20"/>
          <w:lang w:val="en-US" w:eastAsia="ja-JP"/>
        </w:rPr>
        <w:t>Ratio between SCS of the scheduling CC and scheduled CC.</w:t>
      </w:r>
    </w:p>
    <w:p w14:paraId="6FE0968D" w14:textId="3A37E478" w:rsidR="00A204DE" w:rsidRPr="00A204DE" w:rsidRDefault="00A204DE" w:rsidP="00A204DE">
      <w:pPr>
        <w:pStyle w:val="ListParagraph"/>
        <w:numPr>
          <w:ilvl w:val="0"/>
          <w:numId w:val="58"/>
        </w:numPr>
        <w:jc w:val="both"/>
        <w:rPr>
          <w:sz w:val="20"/>
          <w:lang w:eastAsia="ja-JP"/>
        </w:rPr>
      </w:pPr>
      <w:r>
        <w:rPr>
          <w:sz w:val="20"/>
          <w:lang w:val="en-US" w:eastAsia="ja-JP"/>
        </w:rPr>
        <w:t>The minK0 value suggested for the SCS used in the scheduled CC.</w:t>
      </w:r>
    </w:p>
    <w:p w14:paraId="2E552DF0" w14:textId="0EDDB947" w:rsidR="006302A0" w:rsidRPr="006302A0" w:rsidRDefault="006302A0" w:rsidP="00A204DE">
      <w:pPr>
        <w:pStyle w:val="ListParagraph"/>
        <w:numPr>
          <w:ilvl w:val="0"/>
          <w:numId w:val="58"/>
        </w:numPr>
        <w:jc w:val="both"/>
        <w:rPr>
          <w:sz w:val="20"/>
          <w:lang w:eastAsia="ja-JP"/>
        </w:rPr>
      </w:pPr>
      <w:r>
        <w:rPr>
          <w:sz w:val="20"/>
          <w:lang w:val="en-US" w:eastAsia="ja-JP"/>
        </w:rPr>
        <w:t xml:space="preserve">Possible additional </w:t>
      </w:r>
      <w:r w:rsidR="00922424">
        <w:rPr>
          <w:sz w:val="20"/>
          <w:lang w:val="en-US" w:eastAsia="ja-JP"/>
        </w:rPr>
        <w:t>factor</w:t>
      </w:r>
      <w:r w:rsidR="00D07FA9">
        <w:rPr>
          <w:sz w:val="20"/>
          <w:lang w:val="en-US" w:eastAsia="ja-JP"/>
        </w:rPr>
        <w:t xml:space="preserve"> due to the NW might decide to use</w:t>
      </w:r>
      <w:r w:rsidR="005D2379">
        <w:rPr>
          <w:sz w:val="20"/>
          <w:lang w:val="en-US" w:eastAsia="ja-JP"/>
        </w:rPr>
        <w:t>, e.g., PDCCH monitoring case 1-2.</w:t>
      </w:r>
      <w:r w:rsidR="007B04CB">
        <w:rPr>
          <w:sz w:val="20"/>
          <w:lang w:val="en-US" w:eastAsia="ja-JP"/>
        </w:rPr>
        <w:t xml:space="preserve"> Note that this part is only used if the suggested value from the UE</w:t>
      </w:r>
      <w:r w:rsidR="00482E63">
        <w:rPr>
          <w:sz w:val="20"/>
          <w:lang w:val="en-US" w:eastAsia="ja-JP"/>
        </w:rPr>
        <w:t xml:space="preserve"> </w:t>
      </w:r>
      <w:r w:rsidR="00F521FA">
        <w:rPr>
          <w:sz w:val="20"/>
          <w:lang w:val="en-US" w:eastAsia="ja-JP"/>
        </w:rPr>
        <w:t>uses an assumption that PDCCH monitoring case 1-1 will be used.</w:t>
      </w:r>
    </w:p>
    <w:p w14:paraId="694F19CB" w14:textId="5BF703AF" w:rsidR="00A204DE" w:rsidRPr="00A204DE" w:rsidRDefault="00A204DE" w:rsidP="00A204DE">
      <w:pPr>
        <w:pStyle w:val="ListParagraph"/>
        <w:numPr>
          <w:ilvl w:val="0"/>
          <w:numId w:val="58"/>
        </w:numPr>
        <w:jc w:val="both"/>
        <w:rPr>
          <w:sz w:val="20"/>
          <w:lang w:eastAsia="ja-JP"/>
        </w:rPr>
      </w:pPr>
      <w:r>
        <w:rPr>
          <w:sz w:val="20"/>
          <w:lang w:val="en-US" w:eastAsia="ja-JP"/>
        </w:rPr>
        <w:t>Maximum allowable minK0 value</w:t>
      </w:r>
      <w:r w:rsidR="001178FA">
        <w:rPr>
          <w:sz w:val="20"/>
          <w:lang w:val="en-US" w:eastAsia="ja-JP"/>
        </w:rPr>
        <w:t xml:space="preserve">; i.e. to make sure that the </w:t>
      </w:r>
      <w:r w:rsidR="00C33FF2">
        <w:rPr>
          <w:sz w:val="20"/>
          <w:lang w:val="en-US" w:eastAsia="ja-JP"/>
        </w:rPr>
        <w:t>derived suggested minK0 value is not larger than maximum value allowed for minK0.</w:t>
      </w:r>
    </w:p>
    <w:p w14:paraId="2EF1E78E" w14:textId="7C4593A4" w:rsidR="009F5F4F" w:rsidRDefault="009F5F4F" w:rsidP="00BD0EB2">
      <w:pPr>
        <w:jc w:val="both"/>
        <w:rPr>
          <w:sz w:val="20"/>
          <w:lang w:eastAsia="ja-JP"/>
        </w:rPr>
      </w:pPr>
      <w:r>
        <w:rPr>
          <w:sz w:val="20"/>
          <w:lang w:eastAsia="ja-JP"/>
        </w:rPr>
        <w:t xml:space="preserve"> </w:t>
      </w:r>
    </w:p>
    <w:p w14:paraId="6C8234D9" w14:textId="2D7B410D" w:rsidR="009F5F4F" w:rsidRDefault="00155AD0" w:rsidP="00BD0EB2">
      <w:pPr>
        <w:jc w:val="both"/>
        <w:rPr>
          <w:sz w:val="20"/>
          <w:lang w:eastAsia="ja-JP"/>
        </w:rPr>
      </w:pPr>
      <w:r>
        <w:rPr>
          <w:sz w:val="20"/>
          <w:lang w:eastAsia="ja-JP"/>
        </w:rPr>
        <w:lastRenderedPageBreak/>
        <w:t xml:space="preserve">Considering the above parameters, the suggested minK0 value for </w:t>
      </w:r>
      <w:r w:rsidR="00336EC0">
        <w:rPr>
          <w:sz w:val="20"/>
          <w:lang w:eastAsia="ja-JP"/>
        </w:rPr>
        <w:t>numerology</w:t>
      </w:r>
      <w:r>
        <w:rPr>
          <w:sz w:val="20"/>
          <w:lang w:eastAsia="ja-JP"/>
        </w:rPr>
        <w:t xml:space="preserve"> </w:t>
      </w:r>
      <m:oMath>
        <m:sSub>
          <m:sSubPr>
            <m:ctrlPr>
              <w:rPr>
                <w:rFonts w:ascii="Cambria Math" w:hAnsi="Cambria Math"/>
                <w:i/>
                <w:sz w:val="20"/>
                <w:lang w:eastAsia="ja-JP"/>
              </w:rPr>
            </m:ctrlPr>
          </m:sSubPr>
          <m:e>
            <m:r>
              <w:rPr>
                <w:rFonts w:ascii="Cambria Math" w:hAnsi="Cambria Math"/>
                <w:sz w:val="20"/>
                <w:lang w:eastAsia="ja-JP"/>
              </w:rPr>
              <m:t>μ</m:t>
            </m:r>
          </m:e>
          <m:sub>
            <m:r>
              <m:rPr>
                <m:sty m:val="p"/>
              </m:rPr>
              <w:rPr>
                <w:rFonts w:ascii="Cambria Math" w:hAnsi="Cambria Math"/>
                <w:sz w:val="20"/>
                <w:lang w:eastAsia="ja-JP"/>
              </w:rPr>
              <m:t>M</m:t>
            </m:r>
          </m:sub>
        </m:sSub>
      </m:oMath>
      <w:r>
        <w:rPr>
          <w:sz w:val="20"/>
          <w:lang w:eastAsia="ja-JP"/>
        </w:rPr>
        <w:t xml:space="preserve"> in the cross-carrier scheduling can be calculated as:</w:t>
      </w:r>
    </w:p>
    <w:p w14:paraId="5B2C6C90" w14:textId="5500B152" w:rsidR="00155AD0" w:rsidRPr="00155AD0" w:rsidRDefault="007A3B3F" w:rsidP="00BD0EB2">
      <w:pPr>
        <w:jc w:val="both"/>
        <w:rPr>
          <w:sz w:val="20"/>
          <w:lang w:eastAsia="ja-JP"/>
        </w:rPr>
      </w:pPr>
      <m:oMathPara>
        <m:oMath>
          <m:sSup>
            <m:sSupPr>
              <m:ctrlPr>
                <w:rPr>
                  <w:rFonts w:ascii="Cambria Math" w:hAnsi="Cambria Math"/>
                  <w:i/>
                  <w:sz w:val="20"/>
                  <w:lang w:eastAsia="ja-JP"/>
                </w:rPr>
              </m:ctrlPr>
            </m:sSupPr>
            <m:e>
              <m:r>
                <m:rPr>
                  <m:sty m:val="p"/>
                </m:rPr>
                <w:rPr>
                  <w:rFonts w:ascii="Cambria Math" w:hAnsi="Cambria Math"/>
                  <w:sz w:val="20"/>
                  <w:lang w:eastAsia="ja-JP"/>
                </w:rPr>
                <m:t>MinK0</m:t>
              </m:r>
            </m:e>
            <m:sup>
              <m:sSub>
                <m:sSubPr>
                  <m:ctrlPr>
                    <w:rPr>
                      <w:rFonts w:ascii="Cambria Math" w:hAnsi="Cambria Math"/>
                      <w:i/>
                      <w:sz w:val="20"/>
                      <w:lang w:eastAsia="ja-JP"/>
                    </w:rPr>
                  </m:ctrlPr>
                </m:sSubPr>
                <m:e>
                  <m:r>
                    <w:rPr>
                      <w:rFonts w:ascii="Cambria Math" w:hAnsi="Cambria Math"/>
                      <w:sz w:val="20"/>
                      <w:lang w:eastAsia="ja-JP"/>
                    </w:rPr>
                    <m:t>μ</m:t>
                  </m:r>
                </m:e>
                <m:sub>
                  <m:r>
                    <m:rPr>
                      <m:sty m:val="p"/>
                    </m:rPr>
                    <w:rPr>
                      <w:rFonts w:ascii="Cambria Math" w:hAnsi="Cambria Math"/>
                      <w:sz w:val="20"/>
                      <w:lang w:eastAsia="ja-JP"/>
                    </w:rPr>
                    <m:t>M</m:t>
                  </m:r>
                </m:sub>
              </m:sSub>
            </m:sup>
          </m:sSup>
          <m:r>
            <w:rPr>
              <w:rFonts w:ascii="Cambria Math" w:hAnsi="Cambria Math"/>
              <w:sz w:val="20"/>
              <w:lang w:eastAsia="ja-JP"/>
            </w:rPr>
            <m:t>=</m:t>
          </m:r>
          <m:func>
            <m:funcPr>
              <m:ctrlPr>
                <w:rPr>
                  <w:rFonts w:ascii="Cambria Math" w:hAnsi="Cambria Math"/>
                  <w:i/>
                  <w:sz w:val="20"/>
                  <w:lang w:eastAsia="ja-JP"/>
                </w:rPr>
              </m:ctrlPr>
            </m:funcPr>
            <m:fName>
              <m:r>
                <m:rPr>
                  <m:sty m:val="p"/>
                </m:rPr>
                <w:rPr>
                  <w:rFonts w:ascii="Cambria Math" w:hAnsi="Cambria Math"/>
                  <w:sz w:val="20"/>
                  <w:lang w:eastAsia="ja-JP"/>
                </w:rPr>
                <m:t>min</m:t>
              </m:r>
            </m:fName>
            <m:e>
              <m:d>
                <m:dPr>
                  <m:ctrlPr>
                    <w:rPr>
                      <w:rFonts w:ascii="Cambria Math" w:hAnsi="Cambria Math"/>
                      <w:i/>
                      <w:sz w:val="20"/>
                      <w:lang w:eastAsia="ja-JP"/>
                    </w:rPr>
                  </m:ctrlPr>
                </m:dPr>
                <m:e>
                  <m:func>
                    <m:funcPr>
                      <m:ctrlPr>
                        <w:rPr>
                          <w:rFonts w:ascii="Cambria Math" w:hAnsi="Cambria Math"/>
                          <w:i/>
                          <w:sz w:val="20"/>
                          <w:lang w:eastAsia="ja-JP"/>
                        </w:rPr>
                      </m:ctrlPr>
                    </m:funcPr>
                    <m:fName>
                      <m:limLow>
                        <m:limLowPr>
                          <m:ctrlPr>
                            <w:rPr>
                              <w:rFonts w:ascii="Cambria Math" w:hAnsi="Cambria Math"/>
                              <w:i/>
                              <w:sz w:val="20"/>
                              <w:lang w:eastAsia="ja-JP"/>
                            </w:rPr>
                          </m:ctrlPr>
                        </m:limLowPr>
                        <m:e>
                          <m:r>
                            <m:rPr>
                              <m:sty m:val="p"/>
                            </m:rPr>
                            <w:rPr>
                              <w:rFonts w:ascii="Cambria Math" w:hAnsi="Cambria Math"/>
                              <w:sz w:val="20"/>
                              <w:lang w:eastAsia="ja-JP"/>
                            </w:rPr>
                            <m:t>max</m:t>
                          </m:r>
                        </m:e>
                        <m:lim>
                          <m:r>
                            <w:rPr>
                              <w:rFonts w:ascii="Cambria Math" w:hAnsi="Cambria Math"/>
                              <w:sz w:val="20"/>
                              <w:lang w:eastAsia="ja-JP"/>
                            </w:rPr>
                            <m:t>x</m:t>
                          </m:r>
                          <m:r>
                            <w:rPr>
                              <w:rFonts w:ascii="Cambria Math" w:hAnsi="Cambria Math"/>
                              <w:sz w:val="20"/>
                              <w:lang w:eastAsia="ja-JP"/>
                            </w:rPr>
                            <m:t>∈</m:t>
                          </m:r>
                          <m:r>
                            <w:rPr>
                              <w:rFonts w:ascii="Cambria Math" w:hAnsi="Cambria Math"/>
                              <w:sz w:val="20"/>
                              <w:lang w:eastAsia="ja-JP"/>
                            </w:rPr>
                            <m:t>X</m:t>
                          </m:r>
                        </m:lim>
                      </m:limLow>
                    </m:fName>
                    <m:e>
                      <m:d>
                        <m:dPr>
                          <m:ctrlPr>
                            <w:rPr>
                              <w:rFonts w:ascii="Cambria Math" w:hAnsi="Cambria Math"/>
                              <w:i/>
                              <w:sz w:val="20"/>
                              <w:lang w:eastAsia="ja-JP"/>
                            </w:rPr>
                          </m:ctrlPr>
                        </m:dPr>
                        <m:e>
                          <m:d>
                            <m:dPr>
                              <m:begChr m:val="⌈"/>
                              <m:endChr m:val="⌉"/>
                              <m:ctrlPr>
                                <w:rPr>
                                  <w:rFonts w:ascii="Cambria Math" w:hAnsi="Cambria Math"/>
                                  <w:i/>
                                  <w:sz w:val="20"/>
                                  <w:lang w:eastAsia="ja-JP"/>
                                </w:rPr>
                              </m:ctrlPr>
                            </m:dPr>
                            <m:e>
                              <m:d>
                                <m:dPr>
                                  <m:ctrlPr>
                                    <w:rPr>
                                      <w:rFonts w:ascii="Cambria Math" w:hAnsi="Cambria Math"/>
                                      <w:i/>
                                      <w:sz w:val="20"/>
                                      <w:lang w:eastAsia="ja-JP"/>
                                    </w:rPr>
                                  </m:ctrlPr>
                                </m:dPr>
                                <m:e>
                                  <m:sSub>
                                    <m:sSubPr>
                                      <m:ctrlPr>
                                        <w:rPr>
                                          <w:rFonts w:ascii="Cambria Math" w:hAnsi="Cambria Math"/>
                                          <w:i/>
                                          <w:sz w:val="20"/>
                                          <w:lang w:eastAsia="ja-JP"/>
                                        </w:rPr>
                                      </m:ctrlPr>
                                    </m:sSubPr>
                                    <m:e>
                                      <m:r>
                                        <m:rPr>
                                          <m:sty m:val="p"/>
                                        </m:rPr>
                                        <w:rPr>
                                          <w:rFonts w:ascii="Cambria Math" w:hAnsi="Cambria Math"/>
                                          <w:sz w:val="20"/>
                                          <w:lang w:eastAsia="ja-JP"/>
                                        </w:rPr>
                                        <m:t>MinK0</m:t>
                                      </m:r>
                                    </m:e>
                                    <m:sub>
                                      <m:sSub>
                                        <m:sSubPr>
                                          <m:ctrlPr>
                                            <w:rPr>
                                              <w:rFonts w:ascii="Cambria Math" w:hAnsi="Cambria Math"/>
                                              <w:i/>
                                              <w:sz w:val="20"/>
                                              <w:lang w:eastAsia="ja-JP"/>
                                            </w:rPr>
                                          </m:ctrlPr>
                                        </m:sSubPr>
                                        <m:e>
                                          <m:r>
                                            <w:rPr>
                                              <w:rFonts w:ascii="Cambria Math" w:hAnsi="Cambria Math"/>
                                              <w:sz w:val="20"/>
                                              <w:lang w:eastAsia="ja-JP"/>
                                            </w:rPr>
                                            <m:t>μ</m:t>
                                          </m:r>
                                        </m:e>
                                        <m:sub>
                                          <m:r>
                                            <w:rPr>
                                              <w:rFonts w:ascii="Cambria Math" w:hAnsi="Cambria Math"/>
                                              <w:sz w:val="20"/>
                                              <w:lang w:eastAsia="ja-JP"/>
                                            </w:rPr>
                                            <m:t>x</m:t>
                                          </m:r>
                                        </m:sub>
                                      </m:sSub>
                                    </m:sub>
                                  </m:sSub>
                                  <m:r>
                                    <w:rPr>
                                      <w:rFonts w:ascii="Cambria Math" w:hAnsi="Cambria Math"/>
                                      <w:sz w:val="20"/>
                                      <w:lang w:eastAsia="ja-JP"/>
                                    </w:rPr>
                                    <m:t>+</m:t>
                                  </m:r>
                                  <m:r>
                                    <w:rPr>
                                      <w:rFonts w:ascii="Cambria Math" w:hAnsi="Cambria Math"/>
                                      <w:sz w:val="20"/>
                                      <w:lang w:eastAsia="ja-JP"/>
                                    </w:rPr>
                                    <m:t>α</m:t>
                                  </m:r>
                                </m:e>
                              </m:d>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μ</m:t>
                                      </m:r>
                                    </m:e>
                                    <m:sub>
                                      <m:r>
                                        <w:rPr>
                                          <w:rFonts w:ascii="Cambria Math" w:hAnsi="Cambria Math"/>
                                          <w:sz w:val="20"/>
                                          <w:lang w:eastAsia="ja-JP"/>
                                        </w:rPr>
                                        <m:t>M</m:t>
                                      </m:r>
                                    </m:sub>
                                  </m:sSub>
                                </m:num>
                                <m:den>
                                  <m:sSub>
                                    <m:sSubPr>
                                      <m:ctrlPr>
                                        <w:rPr>
                                          <w:rFonts w:ascii="Cambria Math" w:hAnsi="Cambria Math"/>
                                          <w:i/>
                                          <w:sz w:val="20"/>
                                          <w:lang w:eastAsia="ja-JP"/>
                                        </w:rPr>
                                      </m:ctrlPr>
                                    </m:sSubPr>
                                    <m:e>
                                      <m:r>
                                        <w:rPr>
                                          <w:rFonts w:ascii="Cambria Math" w:hAnsi="Cambria Math"/>
                                          <w:sz w:val="20"/>
                                          <w:lang w:eastAsia="ja-JP"/>
                                        </w:rPr>
                                        <m:t>μ</m:t>
                                      </m:r>
                                    </m:e>
                                    <m:sub>
                                      <m:r>
                                        <w:rPr>
                                          <w:rFonts w:ascii="Cambria Math" w:hAnsi="Cambria Math"/>
                                          <w:sz w:val="20"/>
                                          <w:lang w:eastAsia="ja-JP"/>
                                        </w:rPr>
                                        <m:t>x</m:t>
                                      </m:r>
                                    </m:sub>
                                  </m:sSub>
                                </m:den>
                              </m:f>
                            </m:e>
                          </m:d>
                        </m:e>
                      </m:d>
                    </m:e>
                  </m:func>
                  <m:r>
                    <w:rPr>
                      <w:rFonts w:ascii="Cambria Math" w:hAnsi="Cambria Math"/>
                      <w:sz w:val="20"/>
                      <w:lang w:eastAsia="ja-JP"/>
                    </w:rPr>
                    <m:t>,</m:t>
                  </m:r>
                  <m:r>
                    <w:rPr>
                      <w:rFonts w:ascii="Cambria Math" w:hAnsi="Cambria Math"/>
                      <w:sz w:val="20"/>
                      <w:lang w:eastAsia="ja-JP"/>
                    </w:rPr>
                    <m:t>K</m:t>
                  </m:r>
                </m:e>
              </m:d>
            </m:e>
          </m:func>
        </m:oMath>
      </m:oMathPara>
    </w:p>
    <w:p w14:paraId="38AB1926" w14:textId="7BBD0E2F" w:rsidR="00176F02" w:rsidRDefault="00D26092" w:rsidP="00BD0EB2">
      <w:pPr>
        <w:jc w:val="both"/>
        <w:rPr>
          <w:rFonts w:eastAsiaTheme="minorEastAsia"/>
          <w:sz w:val="20"/>
          <w:lang w:eastAsia="ja-JP"/>
        </w:rPr>
      </w:pPr>
      <w:r w:rsidRPr="00D26092">
        <w:rPr>
          <w:sz w:val="20"/>
          <w:lang w:eastAsia="ja-JP"/>
        </w:rPr>
        <w:t xml:space="preserve">where </w:t>
      </w:r>
      <w:r>
        <w:rPr>
          <w:i/>
          <w:sz w:val="20"/>
          <w:lang w:eastAsia="ja-JP"/>
        </w:rPr>
        <w:t>K</w:t>
      </w:r>
      <w:r>
        <w:rPr>
          <w:sz w:val="20"/>
          <w:lang w:eastAsia="ja-JP"/>
        </w:rPr>
        <w:t xml:space="preserve"> is the maximum possible value of minK0, </w:t>
      </w:r>
      <m:oMath>
        <m:sSub>
          <m:sSubPr>
            <m:ctrlPr>
              <w:rPr>
                <w:rFonts w:ascii="Cambria Math" w:hAnsi="Cambria Math"/>
                <w:i/>
                <w:sz w:val="20"/>
                <w:lang w:eastAsia="ja-JP"/>
              </w:rPr>
            </m:ctrlPr>
          </m:sSubPr>
          <m:e>
            <m:r>
              <m:rPr>
                <m:sty m:val="p"/>
              </m:rPr>
              <w:rPr>
                <w:rFonts w:ascii="Cambria Math" w:hAnsi="Cambria Math"/>
                <w:sz w:val="20"/>
                <w:lang w:eastAsia="ja-JP"/>
              </w:rPr>
              <m:t>MinK0</m:t>
            </m:r>
          </m:e>
          <m:sub>
            <m:sSub>
              <m:sSubPr>
                <m:ctrlPr>
                  <w:rPr>
                    <w:rFonts w:ascii="Cambria Math" w:hAnsi="Cambria Math"/>
                    <w:i/>
                    <w:sz w:val="20"/>
                    <w:lang w:eastAsia="ja-JP"/>
                  </w:rPr>
                </m:ctrlPr>
              </m:sSubPr>
              <m:e>
                <m:r>
                  <w:rPr>
                    <w:rFonts w:ascii="Cambria Math" w:hAnsi="Cambria Math"/>
                    <w:sz w:val="20"/>
                    <w:lang w:eastAsia="ja-JP"/>
                  </w:rPr>
                  <m:t>μ</m:t>
                </m:r>
              </m:e>
              <m:sub>
                <m:r>
                  <w:rPr>
                    <w:rFonts w:ascii="Cambria Math" w:hAnsi="Cambria Math"/>
                    <w:sz w:val="20"/>
                    <w:lang w:eastAsia="ja-JP"/>
                  </w:rPr>
                  <m:t>x</m:t>
                </m:r>
              </m:sub>
            </m:sSub>
          </m:sub>
        </m:sSub>
      </m:oMath>
      <w:r w:rsidR="00FB3560">
        <w:rPr>
          <w:rFonts w:eastAsiaTheme="minorEastAsia"/>
          <w:sz w:val="20"/>
          <w:lang w:eastAsia="ja-JP"/>
        </w:rPr>
        <w:t xml:space="preserve"> is the suggested MinK0 value for SCS with numerology </w:t>
      </w:r>
      <m:oMath>
        <m:sSub>
          <m:sSubPr>
            <m:ctrlPr>
              <w:rPr>
                <w:rFonts w:ascii="Cambria Math" w:eastAsiaTheme="minorEastAsia" w:hAnsi="Cambria Math"/>
                <w:i/>
                <w:sz w:val="20"/>
                <w:lang w:eastAsia="ja-JP"/>
              </w:rPr>
            </m:ctrlPr>
          </m:sSubPr>
          <m:e>
            <m:r>
              <w:rPr>
                <w:rFonts w:ascii="Cambria Math" w:eastAsiaTheme="minorEastAsia" w:hAnsi="Cambria Math"/>
                <w:sz w:val="20"/>
                <w:lang w:eastAsia="ja-JP"/>
              </w:rPr>
              <m:t>μ</m:t>
            </m:r>
          </m:e>
          <m:sub>
            <m:r>
              <w:rPr>
                <w:rFonts w:ascii="Cambria Math" w:eastAsiaTheme="minorEastAsia" w:hAnsi="Cambria Math"/>
                <w:sz w:val="20"/>
                <w:lang w:eastAsia="ja-JP"/>
              </w:rPr>
              <m:t>x</m:t>
            </m:r>
          </m:sub>
        </m:sSub>
      </m:oMath>
      <w:r w:rsidR="00FB3560">
        <w:rPr>
          <w:rFonts w:eastAsiaTheme="minorEastAsia"/>
          <w:sz w:val="20"/>
          <w:lang w:eastAsia="ja-JP"/>
        </w:rPr>
        <w:t xml:space="preserve"> , </w:t>
      </w:r>
      <m:oMath>
        <m:r>
          <w:rPr>
            <w:rFonts w:ascii="Cambria Math" w:eastAsiaTheme="minorEastAsia" w:hAnsi="Cambria Math"/>
            <w:sz w:val="20"/>
            <w:lang w:eastAsia="ja-JP"/>
          </w:rPr>
          <m:t>X</m:t>
        </m:r>
      </m:oMath>
      <w:r w:rsidR="00FB3560">
        <w:rPr>
          <w:rFonts w:eastAsiaTheme="minorEastAsia"/>
          <w:sz w:val="20"/>
          <w:lang w:eastAsia="ja-JP"/>
        </w:rPr>
        <w:t xml:space="preserve"> is all possible numerologies</w:t>
      </w:r>
      <w:r w:rsidR="00E82DDC">
        <w:rPr>
          <w:rFonts w:eastAsiaTheme="minorEastAsia"/>
          <w:sz w:val="20"/>
          <w:lang w:eastAsia="ja-JP"/>
        </w:rPr>
        <w:t xml:space="preserve">, and </w:t>
      </w:r>
      <m:oMath>
        <m:r>
          <w:rPr>
            <w:rFonts w:ascii="Cambria Math" w:eastAsiaTheme="minorEastAsia" w:hAnsi="Cambria Math"/>
            <w:sz w:val="20"/>
            <w:lang w:eastAsia="ja-JP"/>
          </w:rPr>
          <m:t>α</m:t>
        </m:r>
      </m:oMath>
      <w:r w:rsidR="00176B48">
        <w:rPr>
          <w:rFonts w:eastAsiaTheme="minorEastAsia"/>
          <w:sz w:val="20"/>
          <w:lang w:eastAsia="ja-JP"/>
        </w:rPr>
        <w:t xml:space="preserve"> is </w:t>
      </w:r>
      <w:r w:rsidR="00A77573">
        <w:rPr>
          <w:rFonts w:eastAsiaTheme="minorEastAsia"/>
          <w:sz w:val="20"/>
          <w:lang w:eastAsia="ja-JP"/>
        </w:rPr>
        <w:t xml:space="preserve">additional </w:t>
      </w:r>
      <w:r w:rsidR="00922424">
        <w:rPr>
          <w:rFonts w:eastAsiaTheme="minorEastAsia"/>
          <w:sz w:val="20"/>
          <w:lang w:eastAsia="ja-JP"/>
        </w:rPr>
        <w:t>factor</w:t>
      </w:r>
      <w:r w:rsidR="00134E50">
        <w:rPr>
          <w:rFonts w:eastAsiaTheme="minorEastAsia"/>
          <w:sz w:val="20"/>
          <w:lang w:eastAsia="ja-JP"/>
        </w:rPr>
        <w:t xml:space="preserve"> that can </w:t>
      </w:r>
      <w:proofErr w:type="gramStart"/>
      <w:r w:rsidR="00134E50">
        <w:rPr>
          <w:rFonts w:eastAsiaTheme="minorEastAsia"/>
          <w:sz w:val="20"/>
          <w:lang w:eastAsia="ja-JP"/>
        </w:rPr>
        <w:t>take into account</w:t>
      </w:r>
      <w:proofErr w:type="gramEnd"/>
      <w:r w:rsidR="00134E50">
        <w:rPr>
          <w:rFonts w:eastAsiaTheme="minorEastAsia"/>
          <w:sz w:val="20"/>
          <w:lang w:eastAsia="ja-JP"/>
        </w:rPr>
        <w:t xml:space="preserve"> other PDCCH monitoring cases</w:t>
      </w:r>
      <w:r w:rsidR="00784B8E">
        <w:rPr>
          <w:rFonts w:eastAsiaTheme="minorEastAsia"/>
          <w:sz w:val="20"/>
          <w:lang w:eastAsia="ja-JP"/>
        </w:rPr>
        <w:t xml:space="preserve">, e.g. PDCCH monitoring case 1-2. The value of </w:t>
      </w:r>
      <m:oMath>
        <m:r>
          <w:rPr>
            <w:rFonts w:ascii="Cambria Math" w:eastAsiaTheme="minorEastAsia" w:hAnsi="Cambria Math"/>
            <w:sz w:val="20"/>
            <w:lang w:eastAsia="ja-JP"/>
          </w:rPr>
          <m:t>α</m:t>
        </m:r>
      </m:oMath>
      <w:r w:rsidR="00CB0E6A">
        <w:rPr>
          <w:rFonts w:eastAsiaTheme="minorEastAsia"/>
          <w:sz w:val="20"/>
          <w:lang w:eastAsia="ja-JP"/>
        </w:rPr>
        <w:t xml:space="preserve"> is</w:t>
      </w:r>
      <w:r w:rsidR="00C27D14">
        <w:rPr>
          <w:rFonts w:eastAsiaTheme="minorEastAsia"/>
          <w:sz w:val="20"/>
          <w:lang w:eastAsia="ja-JP"/>
        </w:rPr>
        <w:t xml:space="preserve"> between 0 to </w:t>
      </w:r>
      <w:r w:rsidR="009715CB">
        <w:rPr>
          <w:rFonts w:eastAsiaTheme="minorEastAsia"/>
          <w:sz w:val="20"/>
          <w:lang w:eastAsia="ja-JP"/>
        </w:rPr>
        <w:t>1.</w:t>
      </w:r>
    </w:p>
    <w:p w14:paraId="461F59C7" w14:textId="4D399E74" w:rsidR="00991D64" w:rsidRPr="00B70A53" w:rsidRDefault="00766FF2" w:rsidP="00991D64">
      <w:pPr>
        <w:pStyle w:val="Proposal"/>
        <w:numPr>
          <w:ilvl w:val="0"/>
          <w:numId w:val="3"/>
        </w:numPr>
        <w:tabs>
          <w:tab w:val="clear" w:pos="1304"/>
        </w:tabs>
        <w:ind w:left="1701" w:hanging="1701"/>
        <w:rPr>
          <w:rFonts w:cs="Arial"/>
          <w:sz w:val="20"/>
        </w:rPr>
      </w:pPr>
      <w:bookmarkStart w:id="14" w:name="_Toc24137502"/>
      <w:r>
        <w:rPr>
          <w:rFonts w:cs="Arial"/>
          <w:sz w:val="20"/>
        </w:rPr>
        <w:t xml:space="preserve">For deriving UE suggested values for mixed numerology case, </w:t>
      </w:r>
      <w:r w:rsidR="00745350">
        <w:rPr>
          <w:rFonts w:cs="Arial"/>
          <w:sz w:val="20"/>
        </w:rPr>
        <w:t xml:space="preserve">an additional </w:t>
      </w:r>
      <w:r w:rsidR="000E3704">
        <w:rPr>
          <w:rFonts w:cs="Arial"/>
          <w:sz w:val="20"/>
        </w:rPr>
        <w:t xml:space="preserve">factor of </w:t>
      </w:r>
      <m:oMath>
        <m:r>
          <m:rPr>
            <m:sty m:val="bi"/>
          </m:rPr>
          <w:rPr>
            <w:rFonts w:ascii="Cambria Math" w:hAnsi="Cambria Math" w:cs="Arial"/>
            <w:sz w:val="20"/>
          </w:rPr>
          <m:t>α</m:t>
        </m:r>
      </m:oMath>
      <w:r w:rsidR="00FE3B3A">
        <w:rPr>
          <w:rFonts w:eastAsiaTheme="minorEastAsia" w:cs="Arial"/>
          <w:sz w:val="20"/>
        </w:rPr>
        <w:t xml:space="preserve"> </w:t>
      </w:r>
      <w:r>
        <w:rPr>
          <w:rFonts w:eastAsiaTheme="minorEastAsia" w:cs="Arial"/>
          <w:sz w:val="20"/>
        </w:rPr>
        <w:t xml:space="preserve">is used in minK0 derivation: </w:t>
      </w:r>
      <m:oMath>
        <m:r>
          <m:rPr>
            <m:sty m:val="bi"/>
          </m:rPr>
          <w:rPr>
            <w:rFonts w:ascii="Cambria Math" w:hAnsi="Cambria Math" w:cs="Arial"/>
            <w:sz w:val="20"/>
          </w:rPr>
          <m:t>α</m:t>
        </m:r>
      </m:oMath>
      <w:r w:rsidR="00807C83">
        <w:rPr>
          <w:rFonts w:eastAsiaTheme="minorEastAsia" w:cs="Arial"/>
          <w:sz w:val="20"/>
        </w:rPr>
        <w:t xml:space="preserve"> </w:t>
      </w:r>
      <w:r w:rsidR="00466489">
        <w:rPr>
          <w:rFonts w:eastAsiaTheme="minorEastAsia" w:cs="Arial"/>
          <w:sz w:val="20"/>
        </w:rPr>
        <w:t>can be 0 or 1</w:t>
      </w:r>
      <w:r>
        <w:rPr>
          <w:rFonts w:eastAsiaTheme="minorEastAsia" w:cs="Arial"/>
          <w:sz w:val="20"/>
        </w:rPr>
        <w:t xml:space="preserve">, </w:t>
      </w:r>
      <w:r w:rsidR="00807C83">
        <w:rPr>
          <w:rFonts w:eastAsiaTheme="minorEastAsia" w:cs="Arial"/>
          <w:sz w:val="20"/>
        </w:rPr>
        <w:t>depend</w:t>
      </w:r>
      <w:r>
        <w:rPr>
          <w:rFonts w:eastAsiaTheme="minorEastAsia" w:cs="Arial"/>
          <w:sz w:val="20"/>
        </w:rPr>
        <w:t>ing</w:t>
      </w:r>
      <w:r w:rsidR="00807C83">
        <w:rPr>
          <w:rFonts w:eastAsiaTheme="minorEastAsia" w:cs="Arial"/>
          <w:sz w:val="20"/>
        </w:rPr>
        <w:t xml:space="preserve"> on the SCS and the location of the last PDCCH monitoring symbol</w:t>
      </w:r>
      <w:r>
        <w:rPr>
          <w:rFonts w:eastAsiaTheme="minorEastAsia" w:cs="Arial"/>
          <w:sz w:val="20"/>
        </w:rPr>
        <w:t xml:space="preserve"> within a slot</w:t>
      </w:r>
      <w:r w:rsidR="00807C83">
        <w:rPr>
          <w:rFonts w:eastAsiaTheme="minorEastAsia" w:cs="Arial"/>
          <w:sz w:val="20"/>
        </w:rPr>
        <w:t>.</w:t>
      </w:r>
      <w:bookmarkEnd w:id="14"/>
    </w:p>
    <w:p w14:paraId="4D5E90BD" w14:textId="77777777" w:rsidR="000C3003" w:rsidRPr="004F132A" w:rsidRDefault="000C3003" w:rsidP="00BD0EB2">
      <w:pPr>
        <w:jc w:val="both"/>
        <w:rPr>
          <w:sz w:val="20"/>
          <w:lang w:eastAsia="ja-JP"/>
        </w:rPr>
      </w:pPr>
    </w:p>
    <w:p w14:paraId="2149B945" w14:textId="7AB00AB2" w:rsidR="00144732" w:rsidRPr="00A65AA1" w:rsidRDefault="00144732" w:rsidP="00144732">
      <w:pPr>
        <w:pStyle w:val="Heading2"/>
        <w:rPr>
          <w:sz w:val="28"/>
          <w:lang w:val="en-US"/>
        </w:rPr>
      </w:pPr>
      <w:r w:rsidRPr="00EE6E84">
        <w:rPr>
          <w:sz w:val="28"/>
          <w:lang w:val="en-US"/>
        </w:rPr>
        <w:t>2.</w:t>
      </w:r>
      <w:r w:rsidR="00345BD2" w:rsidRPr="00EE6E84">
        <w:rPr>
          <w:sz w:val="28"/>
          <w:lang w:val="en-US"/>
        </w:rPr>
        <w:t>7</w:t>
      </w:r>
      <w:r w:rsidRPr="00EE6E84">
        <w:rPr>
          <w:sz w:val="28"/>
          <w:lang w:val="en-US"/>
        </w:rPr>
        <w:tab/>
      </w:r>
      <w:r w:rsidR="009816BA" w:rsidRPr="00A65AA1">
        <w:rPr>
          <w:sz w:val="28"/>
          <w:lang w:val="en-US"/>
        </w:rPr>
        <w:t>Relation with WUS</w:t>
      </w:r>
    </w:p>
    <w:p w14:paraId="14AEFFEA" w14:textId="6229BBD7" w:rsidR="00894E52" w:rsidRPr="00EC4BF1" w:rsidRDefault="00894E52" w:rsidP="003565C0">
      <w:pPr>
        <w:jc w:val="both"/>
        <w:rPr>
          <w:sz w:val="20"/>
          <w:lang w:eastAsia="ja-JP"/>
        </w:rPr>
      </w:pPr>
      <w:r w:rsidRPr="00EC4BF1">
        <w:rPr>
          <w:sz w:val="20"/>
          <w:lang w:eastAsia="ja-JP"/>
        </w:rPr>
        <w:t>When CDRX is configured, the UE monitors the PDCCH in the On-duration. On these occasions, the gNB and the UE need to agree on their state (i.e. whether they are in the CS-state or in the SS-state). From a power consumption perspective, it will be beneficial if the UE monitors these PDCCH in the CS-mode.</w:t>
      </w:r>
    </w:p>
    <w:p w14:paraId="78947BD4" w14:textId="075C2030" w:rsidR="003565C0" w:rsidRPr="00EC4BF1" w:rsidRDefault="00894E52" w:rsidP="00CE3856">
      <w:pPr>
        <w:jc w:val="both"/>
        <w:rPr>
          <w:sz w:val="20"/>
          <w:lang w:eastAsia="ja-JP"/>
        </w:rPr>
      </w:pPr>
      <w:r w:rsidRPr="00EC4BF1">
        <w:rPr>
          <w:sz w:val="20"/>
          <w:lang w:eastAsia="ja-JP"/>
        </w:rPr>
        <w:t xml:space="preserve">A consideration might arise when the UE is also configured with WUS. Having WUS enabled, the UE will wake-up </w:t>
      </w:r>
      <w:r w:rsidR="003565C0" w:rsidRPr="00EC4BF1">
        <w:rPr>
          <w:sz w:val="20"/>
          <w:lang w:eastAsia="ja-JP"/>
        </w:rPr>
        <w:t xml:space="preserve">in the On-duration </w:t>
      </w:r>
      <w:r w:rsidRPr="00EC4BF1">
        <w:rPr>
          <w:sz w:val="20"/>
          <w:lang w:eastAsia="ja-JP"/>
        </w:rPr>
        <w:t>when the NW has data to be transmitted to the UE and sending the WUS. Thus, in this scenario, it is reasonable that the UE wakes-up in the SS-state during the next On-duration.</w:t>
      </w:r>
      <w:r w:rsidR="003565C0" w:rsidRPr="00EC4BF1">
        <w:rPr>
          <w:sz w:val="20"/>
          <w:lang w:eastAsia="ja-JP"/>
        </w:rPr>
        <w:t xml:space="preserve"> It should be noted, however, when the WUS monitoring occasion (MO) lies in the inactivity timer, it has been agreed that the UE will wake-up in the On-duration. In this case, the</w:t>
      </w:r>
      <w:r w:rsidR="00B420F5" w:rsidRPr="00EC4BF1">
        <w:rPr>
          <w:sz w:val="20"/>
          <w:lang w:eastAsia="ja-JP"/>
        </w:rPr>
        <w:t xml:space="preserve"> UE might want to wake-up in a SS-state even the On-duration is not triggered by the WUS itself.</w:t>
      </w:r>
    </w:p>
    <w:p w14:paraId="2F620105" w14:textId="3DEA19B9" w:rsidR="003565C0" w:rsidRPr="00EC4BF1" w:rsidRDefault="00CE3856" w:rsidP="00894E52">
      <w:pPr>
        <w:rPr>
          <w:sz w:val="20"/>
          <w:lang w:eastAsia="ja-JP"/>
        </w:rPr>
      </w:pPr>
      <w:r w:rsidRPr="00EC4BF1">
        <w:rPr>
          <w:sz w:val="20"/>
          <w:lang w:eastAsia="ja-JP"/>
        </w:rPr>
        <w:t>Here, one possible solution is to put information on whether the UE should wake-up in the CS-state or SS-state during the On-duration in the RRC configuration. For example, when WUS is configured, RRC configures that the UE will wake-up in the SS-state during the On-duration. In opposite, when WUS is not configured, the UE will wake-up in the CS-state during the On-duration.</w:t>
      </w:r>
    </w:p>
    <w:p w14:paraId="19E89824" w14:textId="5616AF00" w:rsidR="00C02504" w:rsidRPr="00B70A53" w:rsidRDefault="00C02504" w:rsidP="00C02504">
      <w:pPr>
        <w:pStyle w:val="Proposal"/>
        <w:numPr>
          <w:ilvl w:val="0"/>
          <w:numId w:val="3"/>
        </w:numPr>
        <w:tabs>
          <w:tab w:val="clear" w:pos="1304"/>
        </w:tabs>
        <w:ind w:left="1701" w:hanging="1701"/>
        <w:rPr>
          <w:rFonts w:cs="Arial"/>
          <w:sz w:val="20"/>
        </w:rPr>
      </w:pPr>
      <w:bookmarkStart w:id="15" w:name="_Toc24137503"/>
      <w:r>
        <w:rPr>
          <w:rFonts w:cs="Arial"/>
          <w:sz w:val="20"/>
        </w:rPr>
        <w:t xml:space="preserve">Whether the UE </w:t>
      </w:r>
      <w:r w:rsidRPr="00C02504">
        <w:rPr>
          <w:rFonts w:cs="Arial"/>
          <w:sz w:val="20"/>
        </w:rPr>
        <w:t>should wake-up in the CS-state or in the SS-state during On-duration is configured via RRC e.g. based on WUS configuration</w:t>
      </w:r>
      <w:r w:rsidRPr="00B70A53">
        <w:rPr>
          <w:rFonts w:cs="Arial"/>
          <w:sz w:val="20"/>
        </w:rPr>
        <w:t>.</w:t>
      </w:r>
      <w:bookmarkEnd w:id="15"/>
    </w:p>
    <w:p w14:paraId="1F4575FC" w14:textId="77777777" w:rsidR="000916B4" w:rsidRPr="005F577B" w:rsidRDefault="000916B4" w:rsidP="000916B4">
      <w:pPr>
        <w:pStyle w:val="Heading1"/>
        <w:rPr>
          <w:lang w:val="en-US"/>
        </w:rPr>
      </w:pPr>
      <w:r w:rsidRPr="005F577B">
        <w:rPr>
          <w:lang w:val="en-US"/>
        </w:rPr>
        <w:t>Conclusion</w:t>
      </w:r>
    </w:p>
    <w:p w14:paraId="46CC1146" w14:textId="77777777" w:rsidR="000916B4" w:rsidRPr="009C42EF" w:rsidRDefault="000916B4" w:rsidP="000916B4">
      <w:pPr>
        <w:pStyle w:val="BodyText"/>
        <w:rPr>
          <w:rFonts w:asciiTheme="minorHAnsi" w:hAnsiTheme="minorHAnsi" w:cstheme="minorHAnsi"/>
          <w:sz w:val="20"/>
          <w:szCs w:val="20"/>
        </w:rPr>
      </w:pPr>
      <w:r w:rsidRPr="009C42EF">
        <w:rPr>
          <w:rFonts w:asciiTheme="minorHAnsi" w:hAnsiTheme="minorHAnsi" w:cstheme="minorHAnsi"/>
          <w:sz w:val="20"/>
          <w:szCs w:val="20"/>
        </w:rPr>
        <w:t xml:space="preserve">In section 2, the following observations and proposals were made: </w:t>
      </w:r>
    </w:p>
    <w:p w14:paraId="05131277" w14:textId="77777777" w:rsidR="00D95CA9" w:rsidRDefault="000916B4">
      <w:pPr>
        <w:pStyle w:val="TableofFigures"/>
        <w:tabs>
          <w:tab w:val="right" w:leader="dot" w:pos="9629"/>
        </w:tabs>
        <w:rPr>
          <w:rFonts w:asciiTheme="minorHAnsi" w:eastAsiaTheme="minorEastAsia" w:hAnsiTheme="minorHAnsi"/>
          <w:b w:val="0"/>
          <w:noProof/>
        </w:rPr>
      </w:pPr>
      <w:r w:rsidRPr="00B70A53">
        <w:rPr>
          <w:b w:val="0"/>
          <w:bCs/>
          <w:sz w:val="20"/>
        </w:rPr>
        <w:fldChar w:fldCharType="begin"/>
      </w:r>
      <w:r w:rsidRPr="00B70A53">
        <w:rPr>
          <w:b w:val="0"/>
          <w:bCs/>
          <w:sz w:val="20"/>
        </w:rPr>
        <w:instrText xml:space="preserve"> TOC \f O \n \h \z \t "Observation" \c </w:instrText>
      </w:r>
      <w:r w:rsidRPr="00B70A53">
        <w:rPr>
          <w:b w:val="0"/>
          <w:bCs/>
          <w:sz w:val="20"/>
        </w:rPr>
        <w:fldChar w:fldCharType="separate"/>
      </w:r>
      <w:hyperlink w:anchor="_Toc24130802" w:history="1">
        <w:r w:rsidR="00D95CA9" w:rsidRPr="004F6BB9">
          <w:rPr>
            <w:rStyle w:val="Hyperlink"/>
            <w:rFonts w:cs="Arial"/>
            <w:noProof/>
          </w:rPr>
          <w:t>Observation 1</w:t>
        </w:r>
        <w:r w:rsidR="00D95CA9">
          <w:rPr>
            <w:rFonts w:asciiTheme="minorHAnsi" w:eastAsiaTheme="minorEastAsia" w:hAnsiTheme="minorHAnsi"/>
            <w:b w:val="0"/>
            <w:noProof/>
          </w:rPr>
          <w:tab/>
        </w:r>
        <w:r w:rsidR="00D95CA9" w:rsidRPr="004F6BB9">
          <w:rPr>
            <w:rStyle w:val="Hyperlink"/>
            <w:rFonts w:cs="Arial"/>
            <w:noProof/>
          </w:rPr>
          <w:t>Additional delay for BWP-switch due to the implementation of CS feature is not required though the same gap between PDCCH end and 1st symbol of PDSCH can be applicable for scheduling across BWP switching.</w:t>
        </w:r>
      </w:hyperlink>
    </w:p>
    <w:p w14:paraId="4B1FB8F3" w14:textId="2B8E16F2" w:rsidR="000916B4" w:rsidRPr="004C345E" w:rsidRDefault="000916B4" w:rsidP="000916B4">
      <w:pPr>
        <w:pStyle w:val="TableofFigures"/>
        <w:tabs>
          <w:tab w:val="right" w:leader="dot" w:pos="9629"/>
        </w:tabs>
        <w:rPr>
          <w:rFonts w:asciiTheme="minorHAnsi" w:hAnsiTheme="minorHAnsi" w:cstheme="minorHAnsi"/>
          <w:b w:val="0"/>
          <w:bCs/>
          <w:sz w:val="20"/>
        </w:rPr>
      </w:pPr>
      <w:r w:rsidRPr="00B70A53">
        <w:rPr>
          <w:b w:val="0"/>
          <w:bCs/>
          <w:sz w:val="20"/>
        </w:rPr>
        <w:fldChar w:fldCharType="end"/>
      </w:r>
    </w:p>
    <w:bookmarkStart w:id="16" w:name="_GoBack"/>
    <w:bookmarkEnd w:id="16"/>
    <w:p w14:paraId="2F6B5869" w14:textId="77777777" w:rsidR="0040096E" w:rsidRDefault="000916B4">
      <w:pPr>
        <w:pStyle w:val="TableofFigures"/>
        <w:tabs>
          <w:tab w:val="right" w:leader="dot" w:pos="9629"/>
        </w:tabs>
        <w:rPr>
          <w:rFonts w:asciiTheme="minorHAnsi" w:eastAsiaTheme="minorEastAsia" w:hAnsiTheme="minorHAnsi"/>
          <w:b w:val="0"/>
          <w:noProof/>
        </w:rPr>
      </w:pPr>
      <w:r w:rsidRPr="00B70A53">
        <w:rPr>
          <w:b w:val="0"/>
          <w:bCs/>
          <w:sz w:val="20"/>
        </w:rPr>
        <w:fldChar w:fldCharType="begin"/>
      </w:r>
      <w:r w:rsidRPr="00B70A53">
        <w:rPr>
          <w:b w:val="0"/>
          <w:bCs/>
          <w:sz w:val="20"/>
        </w:rPr>
        <w:instrText xml:space="preserve"> TOC \n \h \z \t "Proposal" \c </w:instrText>
      </w:r>
      <w:r w:rsidRPr="00B70A53">
        <w:rPr>
          <w:b w:val="0"/>
          <w:bCs/>
          <w:sz w:val="20"/>
        </w:rPr>
        <w:fldChar w:fldCharType="separate"/>
      </w:r>
      <w:hyperlink w:anchor="_Toc24137492" w:history="1">
        <w:r w:rsidR="0040096E" w:rsidRPr="006D1761">
          <w:rPr>
            <w:rStyle w:val="Hyperlink"/>
            <w:rFonts w:cs="Arial"/>
            <w:noProof/>
          </w:rPr>
          <w:t>Proposal 1</w:t>
        </w:r>
        <w:r w:rsidR="0040096E">
          <w:rPr>
            <w:rFonts w:asciiTheme="minorHAnsi" w:eastAsiaTheme="minorEastAsia" w:hAnsiTheme="minorHAnsi"/>
            <w:b w:val="0"/>
            <w:noProof/>
          </w:rPr>
          <w:tab/>
        </w:r>
        <w:r w:rsidR="0040096E" w:rsidRPr="006D1761">
          <w:rPr>
            <w:rStyle w:val="Hyperlink"/>
            <w:rFonts w:cs="Arial"/>
            <w:noProof/>
          </w:rPr>
          <w:t>For same-numerology scheduling case, limit the minK0 value range between 0 to 4. A larger limit, e.g. 16, can be used for cross-carrier scheduling with mixed numerologies. Additional limitation based on the SCS can be considered.</w:t>
        </w:r>
      </w:hyperlink>
    </w:p>
    <w:p w14:paraId="442B70B0" w14:textId="77777777" w:rsidR="0040096E" w:rsidRDefault="0040096E">
      <w:pPr>
        <w:pStyle w:val="TableofFigures"/>
        <w:tabs>
          <w:tab w:val="right" w:leader="dot" w:pos="9629"/>
        </w:tabs>
        <w:rPr>
          <w:rFonts w:asciiTheme="minorHAnsi" w:eastAsiaTheme="minorEastAsia" w:hAnsiTheme="minorHAnsi"/>
          <w:b w:val="0"/>
          <w:noProof/>
        </w:rPr>
      </w:pPr>
      <w:hyperlink w:anchor="_Toc24137493" w:history="1">
        <w:r w:rsidRPr="006D1761">
          <w:rPr>
            <w:rStyle w:val="Hyperlink"/>
            <w:rFonts w:cs="Arial"/>
            <w:noProof/>
          </w:rPr>
          <w:t>Proposal 2</w:t>
        </w:r>
        <w:r>
          <w:rPr>
            <w:rFonts w:asciiTheme="minorHAnsi" w:eastAsiaTheme="minorEastAsia" w:hAnsiTheme="minorHAnsi"/>
            <w:b w:val="0"/>
            <w:noProof/>
          </w:rPr>
          <w:tab/>
        </w:r>
        <w:r w:rsidRPr="006D1761">
          <w:rPr>
            <w:rStyle w:val="Hyperlink"/>
            <w:rFonts w:cs="Arial"/>
            <w:noProof/>
          </w:rPr>
          <w:t>For each CS-enabled BWP, set the minimum slot offset for aperiodic SRS to be the same as the minK2 value.</w:t>
        </w:r>
      </w:hyperlink>
    </w:p>
    <w:p w14:paraId="518EE0C9" w14:textId="77777777" w:rsidR="0040096E" w:rsidRDefault="0040096E">
      <w:pPr>
        <w:pStyle w:val="TableofFigures"/>
        <w:tabs>
          <w:tab w:val="right" w:leader="dot" w:pos="9629"/>
        </w:tabs>
        <w:rPr>
          <w:rFonts w:asciiTheme="minorHAnsi" w:eastAsiaTheme="minorEastAsia" w:hAnsiTheme="minorHAnsi"/>
          <w:b w:val="0"/>
          <w:noProof/>
        </w:rPr>
      </w:pPr>
      <w:hyperlink w:anchor="_Toc24137494" w:history="1">
        <w:r w:rsidRPr="006D1761">
          <w:rPr>
            <w:rStyle w:val="Hyperlink"/>
            <w:rFonts w:cs="Arial"/>
            <w:noProof/>
          </w:rPr>
          <w:t>Proposal 3</w:t>
        </w:r>
        <w:r>
          <w:rPr>
            <w:rFonts w:asciiTheme="minorHAnsi" w:eastAsiaTheme="minorEastAsia" w:hAnsiTheme="minorHAnsi"/>
            <w:b w:val="0"/>
            <w:noProof/>
          </w:rPr>
          <w:tab/>
        </w:r>
        <w:r w:rsidRPr="006D1761">
          <w:rPr>
            <w:rStyle w:val="Hyperlink"/>
            <w:rFonts w:cs="Arial"/>
            <w:noProof/>
          </w:rPr>
          <w:t>CSIF field is present in DCI monitored in a BWP only if min K0/K2 is configured for the BWP.</w:t>
        </w:r>
      </w:hyperlink>
    </w:p>
    <w:p w14:paraId="7152587B" w14:textId="77777777" w:rsidR="0040096E" w:rsidRDefault="0040096E">
      <w:pPr>
        <w:pStyle w:val="TableofFigures"/>
        <w:tabs>
          <w:tab w:val="right" w:leader="dot" w:pos="9629"/>
        </w:tabs>
        <w:rPr>
          <w:rFonts w:asciiTheme="minorHAnsi" w:eastAsiaTheme="minorEastAsia" w:hAnsiTheme="minorHAnsi"/>
          <w:b w:val="0"/>
          <w:noProof/>
        </w:rPr>
      </w:pPr>
      <w:hyperlink w:anchor="_Toc24137495" w:history="1">
        <w:r w:rsidRPr="006D1761">
          <w:rPr>
            <w:rStyle w:val="Hyperlink"/>
            <w:rFonts w:cs="Arial"/>
            <w:noProof/>
          </w:rPr>
          <w:t>Proposal 4</w:t>
        </w:r>
        <w:r>
          <w:rPr>
            <w:rFonts w:asciiTheme="minorHAnsi" w:eastAsiaTheme="minorEastAsia" w:hAnsiTheme="minorHAnsi"/>
            <w:b w:val="0"/>
            <w:noProof/>
          </w:rPr>
          <w:tab/>
        </w:r>
        <w:r w:rsidRPr="006D1761">
          <w:rPr>
            <w:rStyle w:val="Hyperlink"/>
            <w:rFonts w:cs="Arial"/>
            <w:noProof/>
          </w:rPr>
          <w:t xml:space="preserve">When UE is in same-slot (SS) state in slot n, the UE continues to be in SS state for at least X more slot unless DCI with CSIF = 1 is detected. UE transitions to CS state if does not detect a DCI with CSIF = 0 for X slots. The value of </w:t>
        </w:r>
        <w:r w:rsidRPr="006D1761">
          <w:rPr>
            <w:rStyle w:val="Hyperlink"/>
            <w:rFonts w:cs="Arial"/>
            <w:i/>
            <w:noProof/>
          </w:rPr>
          <w:t>X</w:t>
        </w:r>
        <w:r w:rsidRPr="006D1761">
          <w:rPr>
            <w:rStyle w:val="Hyperlink"/>
            <w:rFonts w:cs="Arial"/>
            <w:noProof/>
          </w:rPr>
          <w:t xml:space="preserve"> is configurable in RRC and could be set to cover the HARQ retransmission procedure.</w:t>
        </w:r>
      </w:hyperlink>
    </w:p>
    <w:p w14:paraId="7F19623D" w14:textId="77777777" w:rsidR="0040096E" w:rsidRDefault="0040096E">
      <w:pPr>
        <w:pStyle w:val="TableofFigures"/>
        <w:tabs>
          <w:tab w:val="right" w:leader="dot" w:pos="9629"/>
        </w:tabs>
        <w:rPr>
          <w:rFonts w:asciiTheme="minorHAnsi" w:eastAsiaTheme="minorEastAsia" w:hAnsiTheme="minorHAnsi"/>
          <w:b w:val="0"/>
          <w:noProof/>
        </w:rPr>
      </w:pPr>
      <w:hyperlink w:anchor="_Toc24137496" w:history="1">
        <w:r w:rsidRPr="006D1761">
          <w:rPr>
            <w:rStyle w:val="Hyperlink"/>
            <w:rFonts w:cs="Arial"/>
            <w:noProof/>
          </w:rPr>
          <w:t>Proposal 5</w:t>
        </w:r>
        <w:r>
          <w:rPr>
            <w:rFonts w:asciiTheme="minorHAnsi" w:eastAsiaTheme="minorEastAsia" w:hAnsiTheme="minorHAnsi"/>
            <w:b w:val="0"/>
            <w:noProof/>
          </w:rPr>
          <w:tab/>
        </w:r>
        <w:r w:rsidRPr="006D1761">
          <w:rPr>
            <w:rStyle w:val="Hyperlink"/>
            <w:rFonts w:cs="Arial"/>
            <w:noProof/>
          </w:rPr>
          <w:t>If UE does not detect PDCCH in the first slot after BWP-switch, the UE could assume that the UE has detected a DCI with CSIF value equal to the CSIF value in most recent DCI of the source-BWP containing the BWP switching command.</w:t>
        </w:r>
      </w:hyperlink>
    </w:p>
    <w:p w14:paraId="0BDAAC3C" w14:textId="77777777" w:rsidR="0040096E" w:rsidRDefault="0040096E">
      <w:pPr>
        <w:pStyle w:val="TableofFigures"/>
        <w:tabs>
          <w:tab w:val="right" w:leader="dot" w:pos="9629"/>
        </w:tabs>
        <w:rPr>
          <w:rFonts w:asciiTheme="minorHAnsi" w:eastAsiaTheme="minorEastAsia" w:hAnsiTheme="minorHAnsi"/>
          <w:b w:val="0"/>
          <w:noProof/>
        </w:rPr>
      </w:pPr>
      <w:hyperlink w:anchor="_Toc24137497" w:history="1">
        <w:r w:rsidRPr="006D1761">
          <w:rPr>
            <w:rStyle w:val="Hyperlink"/>
            <w:rFonts w:cs="Arial"/>
            <w:noProof/>
          </w:rPr>
          <w:t>Proposal 6</w:t>
        </w:r>
        <w:r>
          <w:rPr>
            <w:rFonts w:asciiTheme="minorHAnsi" w:eastAsiaTheme="minorEastAsia" w:hAnsiTheme="minorHAnsi"/>
            <w:b w:val="0"/>
            <w:noProof/>
          </w:rPr>
          <w:tab/>
        </w:r>
        <w:r w:rsidRPr="006D1761">
          <w:rPr>
            <w:rStyle w:val="Hyperlink"/>
            <w:rFonts w:cs="Arial"/>
            <w:noProof/>
          </w:rPr>
          <w:t>The UE should be able to switch to the new BWP right after BWP-switch delay, including for the case of minK0 is larger than the BWP-switch time delay.</w:t>
        </w:r>
      </w:hyperlink>
    </w:p>
    <w:p w14:paraId="5F0E26D4" w14:textId="77777777" w:rsidR="0040096E" w:rsidRDefault="0040096E">
      <w:pPr>
        <w:pStyle w:val="TableofFigures"/>
        <w:tabs>
          <w:tab w:val="right" w:leader="dot" w:pos="9629"/>
        </w:tabs>
        <w:rPr>
          <w:rFonts w:asciiTheme="minorHAnsi" w:eastAsiaTheme="minorEastAsia" w:hAnsiTheme="minorHAnsi"/>
          <w:b w:val="0"/>
          <w:noProof/>
        </w:rPr>
      </w:pPr>
      <w:hyperlink w:anchor="_Toc24137498" w:history="1">
        <w:r w:rsidRPr="006D1761">
          <w:rPr>
            <w:rStyle w:val="Hyperlink"/>
            <w:rFonts w:cs="Arial"/>
            <w:noProof/>
          </w:rPr>
          <w:t>Proposal 7</w:t>
        </w:r>
        <w:r>
          <w:rPr>
            <w:rFonts w:asciiTheme="minorHAnsi" w:eastAsiaTheme="minorEastAsia" w:hAnsiTheme="minorHAnsi"/>
            <w:b w:val="0"/>
            <w:noProof/>
          </w:rPr>
          <w:tab/>
        </w:r>
        <w:r w:rsidRPr="006D1761">
          <w:rPr>
            <w:rStyle w:val="Hyperlink"/>
            <w:rFonts w:cs="Arial"/>
            <w:noProof/>
          </w:rPr>
          <w:t xml:space="preserve">Consider a value of </w:t>
        </w:r>
        <w:r w:rsidRPr="006D1761">
          <w:rPr>
            <w:rStyle w:val="Hyperlink"/>
            <w:rFonts w:cs="Arial"/>
            <w:i/>
            <w:noProof/>
          </w:rPr>
          <w:t>Z</w:t>
        </w:r>
        <w:r w:rsidRPr="006D1761">
          <w:rPr>
            <w:rStyle w:val="Hyperlink"/>
            <w:rFonts w:cs="Arial"/>
            <w:noProof/>
          </w:rPr>
          <w:t xml:space="preserve"> of (1, 1, 1, 2) for SCS of (15, 30, 60, 120) kHz, respectively.</w:t>
        </w:r>
      </w:hyperlink>
    </w:p>
    <w:p w14:paraId="3CF47339" w14:textId="77777777" w:rsidR="0040096E" w:rsidRDefault="0040096E">
      <w:pPr>
        <w:pStyle w:val="TableofFigures"/>
        <w:tabs>
          <w:tab w:val="right" w:leader="dot" w:pos="9629"/>
        </w:tabs>
        <w:rPr>
          <w:rFonts w:asciiTheme="minorHAnsi" w:eastAsiaTheme="minorEastAsia" w:hAnsiTheme="minorHAnsi"/>
          <w:b w:val="0"/>
          <w:noProof/>
        </w:rPr>
      </w:pPr>
      <w:hyperlink w:anchor="_Toc24137499" w:history="1">
        <w:r w:rsidRPr="006D1761">
          <w:rPr>
            <w:rStyle w:val="Hyperlink"/>
            <w:rFonts w:cs="Arial"/>
            <w:noProof/>
          </w:rPr>
          <w:t>Proposal 8</w:t>
        </w:r>
        <w:r>
          <w:rPr>
            <w:rFonts w:asciiTheme="minorHAnsi" w:eastAsiaTheme="minorEastAsia" w:hAnsiTheme="minorHAnsi"/>
            <w:b w:val="0"/>
            <w:noProof/>
          </w:rPr>
          <w:tab/>
        </w:r>
        <w:r w:rsidRPr="006D1761">
          <w:rPr>
            <w:rStyle w:val="Hyperlink"/>
            <w:rFonts w:cs="Arial"/>
            <w:noProof/>
          </w:rPr>
          <w:t>To calculate application delay for cross-carrier scheduling case, the minK0 value of the scheduled cell is normalized to the scheduling cell numerology.</w:t>
        </w:r>
      </w:hyperlink>
    </w:p>
    <w:p w14:paraId="08F5343E" w14:textId="77777777" w:rsidR="0040096E" w:rsidRDefault="0040096E">
      <w:pPr>
        <w:pStyle w:val="TableofFigures"/>
        <w:tabs>
          <w:tab w:val="right" w:leader="dot" w:pos="9629"/>
        </w:tabs>
        <w:rPr>
          <w:rFonts w:asciiTheme="minorHAnsi" w:eastAsiaTheme="minorEastAsia" w:hAnsiTheme="minorHAnsi"/>
          <w:b w:val="0"/>
          <w:noProof/>
        </w:rPr>
      </w:pPr>
      <w:hyperlink w:anchor="_Toc24137500" w:history="1">
        <w:r w:rsidRPr="006D1761">
          <w:rPr>
            <w:rStyle w:val="Hyperlink"/>
            <w:rFonts w:cs="Arial"/>
            <w:noProof/>
          </w:rPr>
          <w:t>Proposal 9</w:t>
        </w:r>
        <w:r>
          <w:rPr>
            <w:rFonts w:asciiTheme="minorHAnsi" w:eastAsiaTheme="minorEastAsia" w:hAnsiTheme="minorHAnsi"/>
            <w:b w:val="0"/>
            <w:noProof/>
          </w:rPr>
          <w:tab/>
        </w:r>
        <w:r w:rsidRPr="006D1761">
          <w:rPr>
            <w:rStyle w:val="Hyperlink"/>
            <w:rFonts w:cs="Arial"/>
            <w:noProof/>
          </w:rPr>
          <w:t>For PDCCH monitoring case 1-2 or PDCCH monitoring case 2, additional factor can be added to the application delay calculation by considering the SCS and the location of the last symbol of the PDCCH MO.</w:t>
        </w:r>
      </w:hyperlink>
    </w:p>
    <w:p w14:paraId="41E1DC88" w14:textId="77777777" w:rsidR="0040096E" w:rsidRDefault="0040096E">
      <w:pPr>
        <w:pStyle w:val="TableofFigures"/>
        <w:tabs>
          <w:tab w:val="right" w:leader="dot" w:pos="9629"/>
        </w:tabs>
        <w:rPr>
          <w:rFonts w:asciiTheme="minorHAnsi" w:eastAsiaTheme="minorEastAsia" w:hAnsiTheme="minorHAnsi"/>
          <w:b w:val="0"/>
          <w:noProof/>
        </w:rPr>
      </w:pPr>
      <w:hyperlink w:anchor="_Toc24137501" w:history="1">
        <w:r w:rsidRPr="006D1761">
          <w:rPr>
            <w:rStyle w:val="Hyperlink"/>
            <w:rFonts w:cs="Arial"/>
            <w:noProof/>
          </w:rPr>
          <w:t>Proposal 10</w:t>
        </w:r>
        <w:r>
          <w:rPr>
            <w:rFonts w:asciiTheme="minorHAnsi" w:eastAsiaTheme="minorEastAsia" w:hAnsiTheme="minorHAnsi"/>
            <w:b w:val="0"/>
            <w:noProof/>
          </w:rPr>
          <w:tab/>
        </w:r>
        <w:r w:rsidRPr="006D1761">
          <w:rPr>
            <w:rStyle w:val="Hyperlink"/>
            <w:rFonts w:cs="Arial"/>
            <w:noProof/>
          </w:rPr>
          <w:t>Consider a range of UE-suggested minK0 value to be from 1 to (2, 2, 4, 4) slots for SCS of (15, 30, 60, 120) kHz, respectively.</w:t>
        </w:r>
      </w:hyperlink>
    </w:p>
    <w:p w14:paraId="10D6151E" w14:textId="77777777" w:rsidR="0040096E" w:rsidRDefault="0040096E">
      <w:pPr>
        <w:pStyle w:val="TableofFigures"/>
        <w:tabs>
          <w:tab w:val="right" w:leader="dot" w:pos="9629"/>
        </w:tabs>
        <w:rPr>
          <w:rFonts w:asciiTheme="minorHAnsi" w:eastAsiaTheme="minorEastAsia" w:hAnsiTheme="minorHAnsi"/>
          <w:b w:val="0"/>
          <w:noProof/>
        </w:rPr>
      </w:pPr>
      <w:hyperlink w:anchor="_Toc24137502" w:history="1">
        <w:r w:rsidRPr="006D1761">
          <w:rPr>
            <w:rStyle w:val="Hyperlink"/>
            <w:rFonts w:cs="Arial"/>
            <w:noProof/>
          </w:rPr>
          <w:t>Proposal 11</w:t>
        </w:r>
        <w:r>
          <w:rPr>
            <w:rFonts w:asciiTheme="minorHAnsi" w:eastAsiaTheme="minorEastAsia" w:hAnsiTheme="minorHAnsi"/>
            <w:b w:val="0"/>
            <w:noProof/>
          </w:rPr>
          <w:tab/>
        </w:r>
        <w:r w:rsidRPr="006D1761">
          <w:rPr>
            <w:rStyle w:val="Hyperlink"/>
            <w:rFonts w:cs="Arial"/>
            <w:noProof/>
          </w:rPr>
          <w:t xml:space="preserve">For deriving UE suggested values for mixed numerology case, an additional factor of </w:t>
        </w:r>
        <m:oMath>
          <m:r>
            <m:rPr>
              <m:sty m:val="bi"/>
            </m:rPr>
            <w:rPr>
              <w:rStyle w:val="Hyperlink"/>
              <w:rFonts w:ascii="Cambria Math" w:hAnsi="Cambria Math" w:cs="Arial"/>
              <w:noProof/>
            </w:rPr>
            <m:t>α</m:t>
          </m:r>
        </m:oMath>
        <w:r w:rsidRPr="006D1761">
          <w:rPr>
            <w:rStyle w:val="Hyperlink"/>
            <w:rFonts w:cs="Arial"/>
            <w:noProof/>
          </w:rPr>
          <w:t xml:space="preserve"> is used in minK0 derivation: </w:t>
        </w:r>
        <m:oMath>
          <m:r>
            <m:rPr>
              <m:sty m:val="bi"/>
            </m:rPr>
            <w:rPr>
              <w:rStyle w:val="Hyperlink"/>
              <w:rFonts w:ascii="Cambria Math" w:hAnsi="Cambria Math" w:cs="Arial"/>
              <w:noProof/>
            </w:rPr>
            <m:t>α</m:t>
          </m:r>
        </m:oMath>
        <w:r w:rsidRPr="006D1761">
          <w:rPr>
            <w:rStyle w:val="Hyperlink"/>
            <w:rFonts w:cs="Arial"/>
            <w:noProof/>
          </w:rPr>
          <w:t xml:space="preserve"> can be 0 or 1, depending on the SCS and the location of the last PDCCH monitoring symbol within a slot.</w:t>
        </w:r>
      </w:hyperlink>
    </w:p>
    <w:p w14:paraId="7FF4CCDA" w14:textId="77777777" w:rsidR="0040096E" w:rsidRDefault="0040096E">
      <w:pPr>
        <w:pStyle w:val="TableofFigures"/>
        <w:tabs>
          <w:tab w:val="right" w:leader="dot" w:pos="9629"/>
        </w:tabs>
        <w:rPr>
          <w:rFonts w:asciiTheme="minorHAnsi" w:eastAsiaTheme="minorEastAsia" w:hAnsiTheme="minorHAnsi"/>
          <w:b w:val="0"/>
          <w:noProof/>
        </w:rPr>
      </w:pPr>
      <w:hyperlink w:anchor="_Toc24137503" w:history="1">
        <w:r w:rsidRPr="006D1761">
          <w:rPr>
            <w:rStyle w:val="Hyperlink"/>
            <w:rFonts w:cs="Arial"/>
            <w:noProof/>
          </w:rPr>
          <w:t>Proposal 12</w:t>
        </w:r>
        <w:r>
          <w:rPr>
            <w:rFonts w:asciiTheme="minorHAnsi" w:eastAsiaTheme="minorEastAsia" w:hAnsiTheme="minorHAnsi"/>
            <w:b w:val="0"/>
            <w:noProof/>
          </w:rPr>
          <w:tab/>
        </w:r>
        <w:r w:rsidRPr="006D1761">
          <w:rPr>
            <w:rStyle w:val="Hyperlink"/>
            <w:rFonts w:cs="Arial"/>
            <w:noProof/>
          </w:rPr>
          <w:t>Whether the UE should wake-up in the CS-state or in the SS-state during On-duration is configured via RRC e.g. based on WUS configuration.</w:t>
        </w:r>
      </w:hyperlink>
    </w:p>
    <w:p w14:paraId="62D802FB" w14:textId="69D1C479" w:rsidR="000916B4" w:rsidRPr="004C345E" w:rsidRDefault="000916B4" w:rsidP="000916B4">
      <w:pPr>
        <w:pStyle w:val="BodyText"/>
        <w:rPr>
          <w:rFonts w:ascii="Calibri" w:hAnsi="Calibri" w:cs="Calibri"/>
          <w:sz w:val="20"/>
        </w:rPr>
      </w:pPr>
      <w:r w:rsidRPr="00B70A53">
        <w:rPr>
          <w:b/>
          <w:bCs/>
          <w:sz w:val="20"/>
        </w:rPr>
        <w:fldChar w:fldCharType="end"/>
      </w:r>
      <w:r w:rsidRPr="005F577B">
        <w:rPr>
          <w:b/>
          <w:bCs/>
        </w:rPr>
        <w:t xml:space="preserve"> </w:t>
      </w:r>
    </w:p>
    <w:sectPr w:rsidR="000916B4" w:rsidRPr="004C345E"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B4B57" w14:textId="77777777" w:rsidR="007A3B3F" w:rsidRDefault="007A3B3F">
      <w:r>
        <w:separator/>
      </w:r>
    </w:p>
  </w:endnote>
  <w:endnote w:type="continuationSeparator" w:id="0">
    <w:p w14:paraId="5FF9B61C" w14:textId="77777777" w:rsidR="007A3B3F" w:rsidRDefault="007A3B3F">
      <w:r>
        <w:continuationSeparator/>
      </w:r>
    </w:p>
  </w:endnote>
  <w:endnote w:type="continuationNotice" w:id="1">
    <w:p w14:paraId="78A284B0" w14:textId="77777777" w:rsidR="007A3B3F" w:rsidRDefault="007A3B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22058F" w:rsidRDefault="0022058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CF8E3" w14:textId="77777777" w:rsidR="007A3B3F" w:rsidRDefault="007A3B3F">
      <w:r>
        <w:separator/>
      </w:r>
    </w:p>
  </w:footnote>
  <w:footnote w:type="continuationSeparator" w:id="0">
    <w:p w14:paraId="7765D79D" w14:textId="77777777" w:rsidR="007A3B3F" w:rsidRDefault="007A3B3F">
      <w:r>
        <w:continuationSeparator/>
      </w:r>
    </w:p>
  </w:footnote>
  <w:footnote w:type="continuationNotice" w:id="1">
    <w:p w14:paraId="3C1E4402" w14:textId="77777777" w:rsidR="007A3B3F" w:rsidRDefault="007A3B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22058F" w:rsidRDefault="0022058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0E5F6A"/>
    <w:multiLevelType w:val="hybridMultilevel"/>
    <w:tmpl w:val="2FD2F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2"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022C58"/>
    <w:multiLevelType w:val="hybridMultilevel"/>
    <w:tmpl w:val="4B661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30"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7EE2B8E"/>
    <w:multiLevelType w:val="hybridMultilevel"/>
    <w:tmpl w:val="900470D2"/>
    <w:lvl w:ilvl="0" w:tplc="24B80290">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ED1043"/>
    <w:multiLevelType w:val="hybridMultilevel"/>
    <w:tmpl w:val="5492D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9729B8"/>
    <w:multiLevelType w:val="hybridMultilevel"/>
    <w:tmpl w:val="65E43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DE0225"/>
    <w:multiLevelType w:val="hybridMultilevel"/>
    <w:tmpl w:val="7BB671B8"/>
    <w:lvl w:ilvl="0" w:tplc="69C2C470">
      <w:start w:val="1"/>
      <w:numFmt w:val="lowerLetter"/>
      <w:lvlText w:val="%1."/>
      <w:lvlJc w:val="left"/>
      <w:pPr>
        <w:ind w:left="2061" w:hanging="36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43"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3"/>
  </w:num>
  <w:num w:numId="3">
    <w:abstractNumId w:val="22"/>
  </w:num>
  <w:num w:numId="4">
    <w:abstractNumId w:val="23"/>
  </w:num>
  <w:num w:numId="5">
    <w:abstractNumId w:val="17"/>
  </w:num>
  <w:num w:numId="6">
    <w:abstractNumId w:val="26"/>
  </w:num>
  <w:num w:numId="7">
    <w:abstractNumId w:val="37"/>
  </w:num>
  <w:num w:numId="8">
    <w:abstractNumId w:val="18"/>
  </w:num>
  <w:num w:numId="9">
    <w:abstractNumId w:val="14"/>
  </w:num>
  <w:num w:numId="10">
    <w:abstractNumId w:val="2"/>
  </w:num>
  <w:num w:numId="11">
    <w:abstractNumId w:val="1"/>
  </w:num>
  <w:num w:numId="12">
    <w:abstractNumId w:val="0"/>
  </w:num>
  <w:num w:numId="13">
    <w:abstractNumId w:val="34"/>
  </w:num>
  <w:num w:numId="14">
    <w:abstractNumId w:val="35"/>
  </w:num>
  <w:num w:numId="15">
    <w:abstractNumId w:val="25"/>
  </w:num>
  <w:num w:numId="16">
    <w:abstractNumId w:val="40"/>
  </w:num>
  <w:num w:numId="17">
    <w:abstractNumId w:val="10"/>
  </w:num>
  <w:num w:numId="18">
    <w:abstractNumId w:val="13"/>
  </w:num>
  <w:num w:numId="19">
    <w:abstractNumId w:val="6"/>
  </w:num>
  <w:num w:numId="20">
    <w:abstractNumId w:val="47"/>
  </w:num>
  <w:num w:numId="21">
    <w:abstractNumId w:val="20"/>
  </w:num>
  <w:num w:numId="22">
    <w:abstractNumId w:val="44"/>
  </w:num>
  <w:num w:numId="23">
    <w:abstractNumId w:val="9"/>
  </w:num>
  <w:num w:numId="24">
    <w:abstractNumId w:val="21"/>
  </w:num>
  <w:num w:numId="25">
    <w:abstractNumId w:val="19"/>
  </w:num>
  <w:num w:numId="26">
    <w:abstractNumId w:val="32"/>
  </w:num>
  <w:num w:numId="27">
    <w:abstractNumId w:val="15"/>
  </w:num>
  <w:num w:numId="28">
    <w:abstractNumId w:val="48"/>
  </w:num>
  <w:num w:numId="29">
    <w:abstractNumId w:val="43"/>
  </w:num>
  <w:num w:numId="30">
    <w:abstractNumId w:val="41"/>
  </w:num>
  <w:num w:numId="31">
    <w:abstractNumId w:val="36"/>
  </w:num>
  <w:num w:numId="32">
    <w:abstractNumId w:val="36"/>
  </w:num>
  <w:num w:numId="33">
    <w:abstractNumId w:val="48"/>
  </w:num>
  <w:num w:numId="34">
    <w:abstractNumId w:val="30"/>
  </w:num>
  <w:num w:numId="35">
    <w:abstractNumId w:val="43"/>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45"/>
  </w:num>
  <w:num w:numId="39">
    <w:abstractNumId w:val="8"/>
  </w:num>
  <w:num w:numId="40">
    <w:abstractNumId w:val="29"/>
  </w:num>
  <w:num w:numId="41">
    <w:abstractNumId w:val="36"/>
    <w:lvlOverride w:ilvl="0">
      <w:startOverride w:val="1"/>
    </w:lvlOverride>
  </w:num>
  <w:num w:numId="42">
    <w:abstractNumId w:val="36"/>
  </w:num>
  <w:num w:numId="43">
    <w:abstractNumId w:val="16"/>
  </w:num>
  <w:num w:numId="44">
    <w:abstractNumId w:val="46"/>
  </w:num>
  <w:num w:numId="45">
    <w:abstractNumId w:val="5"/>
  </w:num>
  <w:num w:numId="46">
    <w:abstractNumId w:val="36"/>
  </w:num>
  <w:num w:numId="47">
    <w:abstractNumId w:val="36"/>
  </w:num>
  <w:num w:numId="48">
    <w:abstractNumId w:val="22"/>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num>
  <w:num w:numId="53">
    <w:abstractNumId w:val="27"/>
  </w:num>
  <w:num w:numId="54">
    <w:abstractNumId w:val="11"/>
  </w:num>
  <w:num w:numId="55">
    <w:abstractNumId w:val="7"/>
  </w:num>
  <w:num w:numId="56">
    <w:abstractNumId w:val="38"/>
  </w:num>
  <w:num w:numId="57">
    <w:abstractNumId w:val="28"/>
  </w:num>
  <w:num w:numId="58">
    <w:abstractNumId w:val="39"/>
  </w:num>
  <w:num w:numId="59">
    <w:abstractNumId w:val="3"/>
  </w:num>
  <w:num w:numId="60">
    <w:abstractNumId w:val="31"/>
  </w:num>
  <w:num w:numId="61">
    <w:abstractNumId w:val="4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94A"/>
    <w:rsid w:val="00002A37"/>
    <w:rsid w:val="000036A8"/>
    <w:rsid w:val="0000564C"/>
    <w:rsid w:val="00006446"/>
    <w:rsid w:val="00006896"/>
    <w:rsid w:val="00006B35"/>
    <w:rsid w:val="00007CDC"/>
    <w:rsid w:val="00011B28"/>
    <w:rsid w:val="00011CBD"/>
    <w:rsid w:val="00015D15"/>
    <w:rsid w:val="00017D1F"/>
    <w:rsid w:val="00020BD6"/>
    <w:rsid w:val="000226E2"/>
    <w:rsid w:val="00023C10"/>
    <w:rsid w:val="0002564D"/>
    <w:rsid w:val="00025ECA"/>
    <w:rsid w:val="000325B8"/>
    <w:rsid w:val="000329DC"/>
    <w:rsid w:val="00033F16"/>
    <w:rsid w:val="00034C15"/>
    <w:rsid w:val="00036BA1"/>
    <w:rsid w:val="0003730C"/>
    <w:rsid w:val="00037C92"/>
    <w:rsid w:val="0004039E"/>
    <w:rsid w:val="00040802"/>
    <w:rsid w:val="00040B08"/>
    <w:rsid w:val="00040D5F"/>
    <w:rsid w:val="00040E88"/>
    <w:rsid w:val="000422E2"/>
    <w:rsid w:val="00042F22"/>
    <w:rsid w:val="000442F1"/>
    <w:rsid w:val="000444EF"/>
    <w:rsid w:val="00044B6E"/>
    <w:rsid w:val="0004514F"/>
    <w:rsid w:val="00046AAE"/>
    <w:rsid w:val="00052A07"/>
    <w:rsid w:val="000531E0"/>
    <w:rsid w:val="000534E3"/>
    <w:rsid w:val="00053A83"/>
    <w:rsid w:val="0005606A"/>
    <w:rsid w:val="00057117"/>
    <w:rsid w:val="00057960"/>
    <w:rsid w:val="00060F27"/>
    <w:rsid w:val="000616E7"/>
    <w:rsid w:val="0006487E"/>
    <w:rsid w:val="000655B7"/>
    <w:rsid w:val="00065E1A"/>
    <w:rsid w:val="000672F6"/>
    <w:rsid w:val="0007029D"/>
    <w:rsid w:val="0007257D"/>
    <w:rsid w:val="00072F95"/>
    <w:rsid w:val="00076B9F"/>
    <w:rsid w:val="00077E5F"/>
    <w:rsid w:val="0008036A"/>
    <w:rsid w:val="00081AE6"/>
    <w:rsid w:val="00082AC0"/>
    <w:rsid w:val="00084331"/>
    <w:rsid w:val="00084494"/>
    <w:rsid w:val="0008451D"/>
    <w:rsid w:val="000855EB"/>
    <w:rsid w:val="00085B52"/>
    <w:rsid w:val="0008647E"/>
    <w:rsid w:val="000866F2"/>
    <w:rsid w:val="0009009F"/>
    <w:rsid w:val="00090F30"/>
    <w:rsid w:val="00091557"/>
    <w:rsid w:val="000916B4"/>
    <w:rsid w:val="000924C1"/>
    <w:rsid w:val="000924F0"/>
    <w:rsid w:val="00093474"/>
    <w:rsid w:val="00094302"/>
    <w:rsid w:val="0009510F"/>
    <w:rsid w:val="00095CCA"/>
    <w:rsid w:val="00097338"/>
    <w:rsid w:val="000A0560"/>
    <w:rsid w:val="000A0DB2"/>
    <w:rsid w:val="000A1B7B"/>
    <w:rsid w:val="000A2AD2"/>
    <w:rsid w:val="000A42B2"/>
    <w:rsid w:val="000A56F2"/>
    <w:rsid w:val="000B2719"/>
    <w:rsid w:val="000B3A8F"/>
    <w:rsid w:val="000B3EBD"/>
    <w:rsid w:val="000B4AB9"/>
    <w:rsid w:val="000B58C3"/>
    <w:rsid w:val="000B61E9"/>
    <w:rsid w:val="000B6842"/>
    <w:rsid w:val="000C165A"/>
    <w:rsid w:val="000C188B"/>
    <w:rsid w:val="000C1E85"/>
    <w:rsid w:val="000C20CF"/>
    <w:rsid w:val="000C2E19"/>
    <w:rsid w:val="000C3003"/>
    <w:rsid w:val="000C5951"/>
    <w:rsid w:val="000D0D07"/>
    <w:rsid w:val="000D1BB8"/>
    <w:rsid w:val="000D3172"/>
    <w:rsid w:val="000D3A57"/>
    <w:rsid w:val="000D4797"/>
    <w:rsid w:val="000E0527"/>
    <w:rsid w:val="000E1E92"/>
    <w:rsid w:val="000E3704"/>
    <w:rsid w:val="000E3DEC"/>
    <w:rsid w:val="000E414D"/>
    <w:rsid w:val="000E55C2"/>
    <w:rsid w:val="000E5766"/>
    <w:rsid w:val="000E6F68"/>
    <w:rsid w:val="000E77A8"/>
    <w:rsid w:val="000F06D6"/>
    <w:rsid w:val="000F0944"/>
    <w:rsid w:val="000F0EB1"/>
    <w:rsid w:val="000F1106"/>
    <w:rsid w:val="000F17D6"/>
    <w:rsid w:val="000F334B"/>
    <w:rsid w:val="000F3BE9"/>
    <w:rsid w:val="000F3D76"/>
    <w:rsid w:val="000F3DD1"/>
    <w:rsid w:val="000F3F34"/>
    <w:rsid w:val="000F3F6C"/>
    <w:rsid w:val="000F408C"/>
    <w:rsid w:val="000F4A9D"/>
    <w:rsid w:val="000F6DF3"/>
    <w:rsid w:val="000F7212"/>
    <w:rsid w:val="000F7C87"/>
    <w:rsid w:val="00100199"/>
    <w:rsid w:val="001005FF"/>
    <w:rsid w:val="001011D9"/>
    <w:rsid w:val="00103D1F"/>
    <w:rsid w:val="001054CC"/>
    <w:rsid w:val="001062FB"/>
    <w:rsid w:val="001063E6"/>
    <w:rsid w:val="00111391"/>
    <w:rsid w:val="0011191E"/>
    <w:rsid w:val="00112DF8"/>
    <w:rsid w:val="0011375E"/>
    <w:rsid w:val="00113CF4"/>
    <w:rsid w:val="001151A2"/>
    <w:rsid w:val="001153EA"/>
    <w:rsid w:val="00115643"/>
    <w:rsid w:val="00116765"/>
    <w:rsid w:val="001178FA"/>
    <w:rsid w:val="001219F5"/>
    <w:rsid w:val="00121A20"/>
    <w:rsid w:val="0012377F"/>
    <w:rsid w:val="00124314"/>
    <w:rsid w:val="0012560F"/>
    <w:rsid w:val="00126B4A"/>
    <w:rsid w:val="00132728"/>
    <w:rsid w:val="00132FD0"/>
    <w:rsid w:val="001344C0"/>
    <w:rsid w:val="001346FA"/>
    <w:rsid w:val="00134E50"/>
    <w:rsid w:val="00135252"/>
    <w:rsid w:val="00137AB5"/>
    <w:rsid w:val="00137F0B"/>
    <w:rsid w:val="001413D2"/>
    <w:rsid w:val="00141657"/>
    <w:rsid w:val="00144732"/>
    <w:rsid w:val="00144CDF"/>
    <w:rsid w:val="001464AE"/>
    <w:rsid w:val="00151E23"/>
    <w:rsid w:val="001526E0"/>
    <w:rsid w:val="00153855"/>
    <w:rsid w:val="00154255"/>
    <w:rsid w:val="00154B2D"/>
    <w:rsid w:val="001551B5"/>
    <w:rsid w:val="00155354"/>
    <w:rsid w:val="00155AD0"/>
    <w:rsid w:val="001623A2"/>
    <w:rsid w:val="001659C1"/>
    <w:rsid w:val="00173A8E"/>
    <w:rsid w:val="00174D5A"/>
    <w:rsid w:val="0017502C"/>
    <w:rsid w:val="00176B48"/>
    <w:rsid w:val="00176F02"/>
    <w:rsid w:val="0018143F"/>
    <w:rsid w:val="00181FF8"/>
    <w:rsid w:val="00183C09"/>
    <w:rsid w:val="0018405A"/>
    <w:rsid w:val="00185014"/>
    <w:rsid w:val="001875F7"/>
    <w:rsid w:val="001902FD"/>
    <w:rsid w:val="00190AC1"/>
    <w:rsid w:val="001930BC"/>
    <w:rsid w:val="0019341A"/>
    <w:rsid w:val="00195792"/>
    <w:rsid w:val="0019705D"/>
    <w:rsid w:val="00197DF9"/>
    <w:rsid w:val="001A0D38"/>
    <w:rsid w:val="001A1987"/>
    <w:rsid w:val="001A1C27"/>
    <w:rsid w:val="001A2564"/>
    <w:rsid w:val="001A5088"/>
    <w:rsid w:val="001A6173"/>
    <w:rsid w:val="001A6CBA"/>
    <w:rsid w:val="001B0D97"/>
    <w:rsid w:val="001B1E8E"/>
    <w:rsid w:val="001B3493"/>
    <w:rsid w:val="001B402D"/>
    <w:rsid w:val="001B5A5D"/>
    <w:rsid w:val="001C1CE5"/>
    <w:rsid w:val="001C3D2A"/>
    <w:rsid w:val="001D1FDD"/>
    <w:rsid w:val="001D51BA"/>
    <w:rsid w:val="001D53E7"/>
    <w:rsid w:val="001D5F96"/>
    <w:rsid w:val="001D6342"/>
    <w:rsid w:val="001D679D"/>
    <w:rsid w:val="001D6D53"/>
    <w:rsid w:val="001E2263"/>
    <w:rsid w:val="001E58E2"/>
    <w:rsid w:val="001E7AED"/>
    <w:rsid w:val="001F12DE"/>
    <w:rsid w:val="001F1404"/>
    <w:rsid w:val="001F214D"/>
    <w:rsid w:val="001F3916"/>
    <w:rsid w:val="001F54C5"/>
    <w:rsid w:val="001F662C"/>
    <w:rsid w:val="001F6803"/>
    <w:rsid w:val="001F7074"/>
    <w:rsid w:val="00200490"/>
    <w:rsid w:val="00201F3A"/>
    <w:rsid w:val="00202D2E"/>
    <w:rsid w:val="00203F96"/>
    <w:rsid w:val="0020473F"/>
    <w:rsid w:val="002069B2"/>
    <w:rsid w:val="00206A2A"/>
    <w:rsid w:val="00207FA3"/>
    <w:rsid w:val="00214DA8"/>
    <w:rsid w:val="00215423"/>
    <w:rsid w:val="002158FA"/>
    <w:rsid w:val="00217944"/>
    <w:rsid w:val="0022058F"/>
    <w:rsid w:val="00220600"/>
    <w:rsid w:val="00220DB3"/>
    <w:rsid w:val="002224DB"/>
    <w:rsid w:val="00223FCB"/>
    <w:rsid w:val="002252C3"/>
    <w:rsid w:val="00225C54"/>
    <w:rsid w:val="00227D2A"/>
    <w:rsid w:val="00230765"/>
    <w:rsid w:val="00230D18"/>
    <w:rsid w:val="002319E4"/>
    <w:rsid w:val="002339BD"/>
    <w:rsid w:val="00235632"/>
    <w:rsid w:val="00235872"/>
    <w:rsid w:val="0024013F"/>
    <w:rsid w:val="00241559"/>
    <w:rsid w:val="002435B3"/>
    <w:rsid w:val="002458EB"/>
    <w:rsid w:val="002475B9"/>
    <w:rsid w:val="00247CAE"/>
    <w:rsid w:val="002500C8"/>
    <w:rsid w:val="00252160"/>
    <w:rsid w:val="00253FD7"/>
    <w:rsid w:val="00255108"/>
    <w:rsid w:val="00255CDC"/>
    <w:rsid w:val="00255E7F"/>
    <w:rsid w:val="00256B29"/>
    <w:rsid w:val="00257543"/>
    <w:rsid w:val="00260B1C"/>
    <w:rsid w:val="00260D12"/>
    <w:rsid w:val="002617E7"/>
    <w:rsid w:val="0026213A"/>
    <w:rsid w:val="002629EE"/>
    <w:rsid w:val="00264228"/>
    <w:rsid w:val="00264334"/>
    <w:rsid w:val="0026473E"/>
    <w:rsid w:val="00266214"/>
    <w:rsid w:val="00267154"/>
    <w:rsid w:val="00267C83"/>
    <w:rsid w:val="00271123"/>
    <w:rsid w:val="0027144F"/>
    <w:rsid w:val="00271813"/>
    <w:rsid w:val="00271F3A"/>
    <w:rsid w:val="00273278"/>
    <w:rsid w:val="002737F4"/>
    <w:rsid w:val="00274A85"/>
    <w:rsid w:val="00275C70"/>
    <w:rsid w:val="00277CC4"/>
    <w:rsid w:val="002805F5"/>
    <w:rsid w:val="00280751"/>
    <w:rsid w:val="002819E7"/>
    <w:rsid w:val="00282361"/>
    <w:rsid w:val="0028280A"/>
    <w:rsid w:val="00284720"/>
    <w:rsid w:val="0028505D"/>
    <w:rsid w:val="00285D80"/>
    <w:rsid w:val="00285F1A"/>
    <w:rsid w:val="002860D9"/>
    <w:rsid w:val="0028698F"/>
    <w:rsid w:val="00286ACD"/>
    <w:rsid w:val="00287303"/>
    <w:rsid w:val="00287838"/>
    <w:rsid w:val="002907B5"/>
    <w:rsid w:val="00291559"/>
    <w:rsid w:val="002915CA"/>
    <w:rsid w:val="0029222E"/>
    <w:rsid w:val="00292EB7"/>
    <w:rsid w:val="00295853"/>
    <w:rsid w:val="00295E50"/>
    <w:rsid w:val="00296227"/>
    <w:rsid w:val="00296F44"/>
    <w:rsid w:val="0029777D"/>
    <w:rsid w:val="002A055E"/>
    <w:rsid w:val="002A1D4E"/>
    <w:rsid w:val="002A1EC4"/>
    <w:rsid w:val="002A2869"/>
    <w:rsid w:val="002A3773"/>
    <w:rsid w:val="002A5EA9"/>
    <w:rsid w:val="002A6CB8"/>
    <w:rsid w:val="002A718E"/>
    <w:rsid w:val="002B24D6"/>
    <w:rsid w:val="002B5F13"/>
    <w:rsid w:val="002B66F3"/>
    <w:rsid w:val="002B6E84"/>
    <w:rsid w:val="002C1ADA"/>
    <w:rsid w:val="002C1C98"/>
    <w:rsid w:val="002C2CB7"/>
    <w:rsid w:val="002C3A3E"/>
    <w:rsid w:val="002C41E6"/>
    <w:rsid w:val="002C452C"/>
    <w:rsid w:val="002C5693"/>
    <w:rsid w:val="002C5B24"/>
    <w:rsid w:val="002C6C20"/>
    <w:rsid w:val="002D071A"/>
    <w:rsid w:val="002D0DB1"/>
    <w:rsid w:val="002D276A"/>
    <w:rsid w:val="002D34B2"/>
    <w:rsid w:val="002D3661"/>
    <w:rsid w:val="002D3A28"/>
    <w:rsid w:val="002D44A4"/>
    <w:rsid w:val="002D48B0"/>
    <w:rsid w:val="002D5B37"/>
    <w:rsid w:val="002D6B7A"/>
    <w:rsid w:val="002D7637"/>
    <w:rsid w:val="002D78B9"/>
    <w:rsid w:val="002E17F2"/>
    <w:rsid w:val="002E33CB"/>
    <w:rsid w:val="002E76C1"/>
    <w:rsid w:val="002E7CAE"/>
    <w:rsid w:val="002F2045"/>
    <w:rsid w:val="002F2771"/>
    <w:rsid w:val="002F37A9"/>
    <w:rsid w:val="002F554D"/>
    <w:rsid w:val="00300522"/>
    <w:rsid w:val="003008A8"/>
    <w:rsid w:val="0030156F"/>
    <w:rsid w:val="00301CE6"/>
    <w:rsid w:val="0030256B"/>
    <w:rsid w:val="003038C2"/>
    <w:rsid w:val="00304041"/>
    <w:rsid w:val="0030501F"/>
    <w:rsid w:val="00305C15"/>
    <w:rsid w:val="00305C55"/>
    <w:rsid w:val="003060E2"/>
    <w:rsid w:val="00307BA1"/>
    <w:rsid w:val="00311702"/>
    <w:rsid w:val="00311B9B"/>
    <w:rsid w:val="00311E82"/>
    <w:rsid w:val="00312F32"/>
    <w:rsid w:val="00313FD6"/>
    <w:rsid w:val="003143BD"/>
    <w:rsid w:val="00315363"/>
    <w:rsid w:val="00315A44"/>
    <w:rsid w:val="00315FA3"/>
    <w:rsid w:val="003179FF"/>
    <w:rsid w:val="00320093"/>
    <w:rsid w:val="003203ED"/>
    <w:rsid w:val="0032224B"/>
    <w:rsid w:val="00322A72"/>
    <w:rsid w:val="00322C9F"/>
    <w:rsid w:val="00322CA3"/>
    <w:rsid w:val="003237FB"/>
    <w:rsid w:val="00324D23"/>
    <w:rsid w:val="003308BD"/>
    <w:rsid w:val="00331751"/>
    <w:rsid w:val="00331E66"/>
    <w:rsid w:val="003339C5"/>
    <w:rsid w:val="00333A95"/>
    <w:rsid w:val="00334579"/>
    <w:rsid w:val="00335858"/>
    <w:rsid w:val="00336BDA"/>
    <w:rsid w:val="00336EC0"/>
    <w:rsid w:val="00337E60"/>
    <w:rsid w:val="00342BD7"/>
    <w:rsid w:val="00345BD2"/>
    <w:rsid w:val="00346DB5"/>
    <w:rsid w:val="003477B1"/>
    <w:rsid w:val="003503F6"/>
    <w:rsid w:val="003565C0"/>
    <w:rsid w:val="00357380"/>
    <w:rsid w:val="003602D9"/>
    <w:rsid w:val="003604CE"/>
    <w:rsid w:val="00360BC0"/>
    <w:rsid w:val="003628DD"/>
    <w:rsid w:val="0036390F"/>
    <w:rsid w:val="00366127"/>
    <w:rsid w:val="00366A3C"/>
    <w:rsid w:val="00367234"/>
    <w:rsid w:val="00370E47"/>
    <w:rsid w:val="003730B6"/>
    <w:rsid w:val="00374063"/>
    <w:rsid w:val="003742AC"/>
    <w:rsid w:val="00377117"/>
    <w:rsid w:val="00377CE1"/>
    <w:rsid w:val="00381CEC"/>
    <w:rsid w:val="00383587"/>
    <w:rsid w:val="00385BF0"/>
    <w:rsid w:val="0038739E"/>
    <w:rsid w:val="00393525"/>
    <w:rsid w:val="003939FF"/>
    <w:rsid w:val="00394F19"/>
    <w:rsid w:val="00395115"/>
    <w:rsid w:val="00395A6F"/>
    <w:rsid w:val="003A1FB6"/>
    <w:rsid w:val="003A2223"/>
    <w:rsid w:val="003A2A0F"/>
    <w:rsid w:val="003A45A1"/>
    <w:rsid w:val="003A5B0A"/>
    <w:rsid w:val="003A6BAC"/>
    <w:rsid w:val="003A70A4"/>
    <w:rsid w:val="003A7EF3"/>
    <w:rsid w:val="003B074D"/>
    <w:rsid w:val="003B159C"/>
    <w:rsid w:val="003B1B7F"/>
    <w:rsid w:val="003B2FCF"/>
    <w:rsid w:val="003B369F"/>
    <w:rsid w:val="003B36A3"/>
    <w:rsid w:val="003B3BCC"/>
    <w:rsid w:val="003B64BB"/>
    <w:rsid w:val="003B6F6B"/>
    <w:rsid w:val="003B7CC2"/>
    <w:rsid w:val="003B7F13"/>
    <w:rsid w:val="003B7FE5"/>
    <w:rsid w:val="003C11C8"/>
    <w:rsid w:val="003C1A66"/>
    <w:rsid w:val="003C2702"/>
    <w:rsid w:val="003C7806"/>
    <w:rsid w:val="003C7932"/>
    <w:rsid w:val="003D109F"/>
    <w:rsid w:val="003D1B7E"/>
    <w:rsid w:val="003D2478"/>
    <w:rsid w:val="003D3C45"/>
    <w:rsid w:val="003D5B1F"/>
    <w:rsid w:val="003D6E54"/>
    <w:rsid w:val="003D716D"/>
    <w:rsid w:val="003D7F03"/>
    <w:rsid w:val="003E15FA"/>
    <w:rsid w:val="003E3AD5"/>
    <w:rsid w:val="003E3F3E"/>
    <w:rsid w:val="003E55E4"/>
    <w:rsid w:val="003E74E3"/>
    <w:rsid w:val="003F05C7"/>
    <w:rsid w:val="003F1FCD"/>
    <w:rsid w:val="003F2CD4"/>
    <w:rsid w:val="003F50B5"/>
    <w:rsid w:val="003F56FB"/>
    <w:rsid w:val="003F6BBE"/>
    <w:rsid w:val="0040000E"/>
    <w:rsid w:val="004000AB"/>
    <w:rsid w:val="004000E8"/>
    <w:rsid w:val="0040096E"/>
    <w:rsid w:val="00400E85"/>
    <w:rsid w:val="00402A83"/>
    <w:rsid w:val="00402E2B"/>
    <w:rsid w:val="00403808"/>
    <w:rsid w:val="0040512B"/>
    <w:rsid w:val="00405CA5"/>
    <w:rsid w:val="00406019"/>
    <w:rsid w:val="00406E4C"/>
    <w:rsid w:val="00407610"/>
    <w:rsid w:val="00407CD3"/>
    <w:rsid w:val="00410134"/>
    <w:rsid w:val="004105CD"/>
    <w:rsid w:val="00410B72"/>
    <w:rsid w:val="00410F18"/>
    <w:rsid w:val="0041263E"/>
    <w:rsid w:val="00413AAC"/>
    <w:rsid w:val="00413E92"/>
    <w:rsid w:val="00414AEC"/>
    <w:rsid w:val="00414C36"/>
    <w:rsid w:val="004171C6"/>
    <w:rsid w:val="00420004"/>
    <w:rsid w:val="00421105"/>
    <w:rsid w:val="004214D3"/>
    <w:rsid w:val="00422AA4"/>
    <w:rsid w:val="004242F4"/>
    <w:rsid w:val="0042475A"/>
    <w:rsid w:val="00426743"/>
    <w:rsid w:val="00427081"/>
    <w:rsid w:val="00427248"/>
    <w:rsid w:val="0042726C"/>
    <w:rsid w:val="00431471"/>
    <w:rsid w:val="00431EF9"/>
    <w:rsid w:val="00434213"/>
    <w:rsid w:val="004367F2"/>
    <w:rsid w:val="00437447"/>
    <w:rsid w:val="00440B9F"/>
    <w:rsid w:val="00441A92"/>
    <w:rsid w:val="004431DC"/>
    <w:rsid w:val="004432A7"/>
    <w:rsid w:val="004440BE"/>
    <w:rsid w:val="00444F56"/>
    <w:rsid w:val="00445910"/>
    <w:rsid w:val="00446488"/>
    <w:rsid w:val="004517AA"/>
    <w:rsid w:val="00452CAC"/>
    <w:rsid w:val="00457565"/>
    <w:rsid w:val="00457B71"/>
    <w:rsid w:val="0046156A"/>
    <w:rsid w:val="004624AC"/>
    <w:rsid w:val="00462AA0"/>
    <w:rsid w:val="004633EC"/>
    <w:rsid w:val="00463D18"/>
    <w:rsid w:val="004662E3"/>
    <w:rsid w:val="00466489"/>
    <w:rsid w:val="004669E2"/>
    <w:rsid w:val="00467D0C"/>
    <w:rsid w:val="00470C31"/>
    <w:rsid w:val="00471DE0"/>
    <w:rsid w:val="004734D0"/>
    <w:rsid w:val="00474461"/>
    <w:rsid w:val="0047556B"/>
    <w:rsid w:val="00475ECD"/>
    <w:rsid w:val="00476D41"/>
    <w:rsid w:val="00477768"/>
    <w:rsid w:val="00482E63"/>
    <w:rsid w:val="0048398B"/>
    <w:rsid w:val="0048620D"/>
    <w:rsid w:val="004877CC"/>
    <w:rsid w:val="00491BB8"/>
    <w:rsid w:val="00492BC5"/>
    <w:rsid w:val="00495028"/>
    <w:rsid w:val="004957EC"/>
    <w:rsid w:val="00495A29"/>
    <w:rsid w:val="00495A9A"/>
    <w:rsid w:val="004964F1"/>
    <w:rsid w:val="00496962"/>
    <w:rsid w:val="004972EF"/>
    <w:rsid w:val="004A16BC"/>
    <w:rsid w:val="004A2B94"/>
    <w:rsid w:val="004A38BE"/>
    <w:rsid w:val="004A7CFC"/>
    <w:rsid w:val="004B258F"/>
    <w:rsid w:val="004B2A42"/>
    <w:rsid w:val="004B3EF4"/>
    <w:rsid w:val="004B4E2F"/>
    <w:rsid w:val="004B550A"/>
    <w:rsid w:val="004B6F6A"/>
    <w:rsid w:val="004B7267"/>
    <w:rsid w:val="004B7659"/>
    <w:rsid w:val="004B7C0C"/>
    <w:rsid w:val="004C345E"/>
    <w:rsid w:val="004C3898"/>
    <w:rsid w:val="004C4369"/>
    <w:rsid w:val="004C4F2B"/>
    <w:rsid w:val="004C6765"/>
    <w:rsid w:val="004C6FD5"/>
    <w:rsid w:val="004D0A2C"/>
    <w:rsid w:val="004D0B0A"/>
    <w:rsid w:val="004D12F7"/>
    <w:rsid w:val="004D24AC"/>
    <w:rsid w:val="004D30D7"/>
    <w:rsid w:val="004D36B1"/>
    <w:rsid w:val="004D5D37"/>
    <w:rsid w:val="004D7EBD"/>
    <w:rsid w:val="004E1A15"/>
    <w:rsid w:val="004E2680"/>
    <w:rsid w:val="004E28F9"/>
    <w:rsid w:val="004E462E"/>
    <w:rsid w:val="004E56DC"/>
    <w:rsid w:val="004E76F4"/>
    <w:rsid w:val="004F0920"/>
    <w:rsid w:val="004F0B4E"/>
    <w:rsid w:val="004F0B6C"/>
    <w:rsid w:val="004F132A"/>
    <w:rsid w:val="004F2078"/>
    <w:rsid w:val="004F4DA3"/>
    <w:rsid w:val="004F695C"/>
    <w:rsid w:val="004F7D0A"/>
    <w:rsid w:val="0050158D"/>
    <w:rsid w:val="0050544E"/>
    <w:rsid w:val="00505485"/>
    <w:rsid w:val="00506557"/>
    <w:rsid w:val="0050677A"/>
    <w:rsid w:val="005108D8"/>
    <w:rsid w:val="005116F9"/>
    <w:rsid w:val="00511BA8"/>
    <w:rsid w:val="00514599"/>
    <w:rsid w:val="005153A7"/>
    <w:rsid w:val="005219CF"/>
    <w:rsid w:val="005229E8"/>
    <w:rsid w:val="00524A1B"/>
    <w:rsid w:val="00525682"/>
    <w:rsid w:val="00525CD5"/>
    <w:rsid w:val="00526200"/>
    <w:rsid w:val="00530FD3"/>
    <w:rsid w:val="0053109D"/>
    <w:rsid w:val="00534B59"/>
    <w:rsid w:val="00536759"/>
    <w:rsid w:val="00536E7A"/>
    <w:rsid w:val="00537C62"/>
    <w:rsid w:val="00541165"/>
    <w:rsid w:val="005427BF"/>
    <w:rsid w:val="0054375F"/>
    <w:rsid w:val="00546970"/>
    <w:rsid w:val="00553964"/>
    <w:rsid w:val="00554E19"/>
    <w:rsid w:val="0056121F"/>
    <w:rsid w:val="0056173B"/>
    <w:rsid w:val="005623A2"/>
    <w:rsid w:val="00565BC0"/>
    <w:rsid w:val="0057122C"/>
    <w:rsid w:val="00572505"/>
    <w:rsid w:val="00572869"/>
    <w:rsid w:val="00575E44"/>
    <w:rsid w:val="00582809"/>
    <w:rsid w:val="0058798C"/>
    <w:rsid w:val="005900FA"/>
    <w:rsid w:val="0059325C"/>
    <w:rsid w:val="005935A4"/>
    <w:rsid w:val="00593E56"/>
    <w:rsid w:val="005948C2"/>
    <w:rsid w:val="005958E4"/>
    <w:rsid w:val="00595DCA"/>
    <w:rsid w:val="0059779B"/>
    <w:rsid w:val="00597B36"/>
    <w:rsid w:val="00597CB4"/>
    <w:rsid w:val="005A209A"/>
    <w:rsid w:val="005A3F38"/>
    <w:rsid w:val="005A662D"/>
    <w:rsid w:val="005A6B5D"/>
    <w:rsid w:val="005B1409"/>
    <w:rsid w:val="005B35D7"/>
    <w:rsid w:val="005B392A"/>
    <w:rsid w:val="005B3AA3"/>
    <w:rsid w:val="005B6F83"/>
    <w:rsid w:val="005C381A"/>
    <w:rsid w:val="005C641B"/>
    <w:rsid w:val="005C660E"/>
    <w:rsid w:val="005C6739"/>
    <w:rsid w:val="005C74FB"/>
    <w:rsid w:val="005C7E22"/>
    <w:rsid w:val="005D1602"/>
    <w:rsid w:val="005D2379"/>
    <w:rsid w:val="005D2DE6"/>
    <w:rsid w:val="005D33F5"/>
    <w:rsid w:val="005D7D12"/>
    <w:rsid w:val="005E1324"/>
    <w:rsid w:val="005E18A0"/>
    <w:rsid w:val="005E1F26"/>
    <w:rsid w:val="005E385F"/>
    <w:rsid w:val="005E5B81"/>
    <w:rsid w:val="005E5E3D"/>
    <w:rsid w:val="005F0658"/>
    <w:rsid w:val="005F067A"/>
    <w:rsid w:val="005F1F3B"/>
    <w:rsid w:val="005F242E"/>
    <w:rsid w:val="005F2CB1"/>
    <w:rsid w:val="005F3025"/>
    <w:rsid w:val="005F529D"/>
    <w:rsid w:val="005F55E6"/>
    <w:rsid w:val="005F618C"/>
    <w:rsid w:val="005F6634"/>
    <w:rsid w:val="005F70BD"/>
    <w:rsid w:val="0060283C"/>
    <w:rsid w:val="00604697"/>
    <w:rsid w:val="00604B1E"/>
    <w:rsid w:val="00604F14"/>
    <w:rsid w:val="00604FC4"/>
    <w:rsid w:val="006079D9"/>
    <w:rsid w:val="006109EE"/>
    <w:rsid w:val="00610BED"/>
    <w:rsid w:val="00611B83"/>
    <w:rsid w:val="00613257"/>
    <w:rsid w:val="00615C7D"/>
    <w:rsid w:val="00616516"/>
    <w:rsid w:val="00620A71"/>
    <w:rsid w:val="00620D80"/>
    <w:rsid w:val="00622817"/>
    <w:rsid w:val="006234A6"/>
    <w:rsid w:val="00623EDB"/>
    <w:rsid w:val="00625AE6"/>
    <w:rsid w:val="00626885"/>
    <w:rsid w:val="00630001"/>
    <w:rsid w:val="006302A0"/>
    <w:rsid w:val="006311B3"/>
    <w:rsid w:val="0063284C"/>
    <w:rsid w:val="00633B55"/>
    <w:rsid w:val="006342C7"/>
    <w:rsid w:val="00636398"/>
    <w:rsid w:val="006368D3"/>
    <w:rsid w:val="00637607"/>
    <w:rsid w:val="006377EC"/>
    <w:rsid w:val="00641079"/>
    <w:rsid w:val="0064151F"/>
    <w:rsid w:val="00641533"/>
    <w:rsid w:val="006419B3"/>
    <w:rsid w:val="0064208D"/>
    <w:rsid w:val="00643475"/>
    <w:rsid w:val="0064348E"/>
    <w:rsid w:val="0064396A"/>
    <w:rsid w:val="00644519"/>
    <w:rsid w:val="0064624E"/>
    <w:rsid w:val="0064640D"/>
    <w:rsid w:val="00647719"/>
    <w:rsid w:val="00650AB9"/>
    <w:rsid w:val="00655733"/>
    <w:rsid w:val="00655ACD"/>
    <w:rsid w:val="00656A92"/>
    <w:rsid w:val="00656DDE"/>
    <w:rsid w:val="0066011D"/>
    <w:rsid w:val="006607C0"/>
    <w:rsid w:val="006613A6"/>
    <w:rsid w:val="006627A2"/>
    <w:rsid w:val="006627DF"/>
    <w:rsid w:val="00662ED0"/>
    <w:rsid w:val="006634E6"/>
    <w:rsid w:val="00663B67"/>
    <w:rsid w:val="006655EE"/>
    <w:rsid w:val="00665DA2"/>
    <w:rsid w:val="00665DD3"/>
    <w:rsid w:val="00667EE7"/>
    <w:rsid w:val="00670922"/>
    <w:rsid w:val="00670BE1"/>
    <w:rsid w:val="0067218F"/>
    <w:rsid w:val="006741F2"/>
    <w:rsid w:val="00674CC3"/>
    <w:rsid w:val="00675C72"/>
    <w:rsid w:val="006771F9"/>
    <w:rsid w:val="006776D7"/>
    <w:rsid w:val="006809FF"/>
    <w:rsid w:val="00680E64"/>
    <w:rsid w:val="00681003"/>
    <w:rsid w:val="006817C9"/>
    <w:rsid w:val="0068383E"/>
    <w:rsid w:val="00683ECE"/>
    <w:rsid w:val="006857FE"/>
    <w:rsid w:val="00693D49"/>
    <w:rsid w:val="00694355"/>
    <w:rsid w:val="00695FC2"/>
    <w:rsid w:val="00696949"/>
    <w:rsid w:val="00697052"/>
    <w:rsid w:val="006977D9"/>
    <w:rsid w:val="006A46FB"/>
    <w:rsid w:val="006A4AE8"/>
    <w:rsid w:val="006A5E28"/>
    <w:rsid w:val="006A6173"/>
    <w:rsid w:val="006A67D1"/>
    <w:rsid w:val="006A697B"/>
    <w:rsid w:val="006A7AFF"/>
    <w:rsid w:val="006B0772"/>
    <w:rsid w:val="006B1816"/>
    <w:rsid w:val="006B2099"/>
    <w:rsid w:val="006B22E1"/>
    <w:rsid w:val="006B50CF"/>
    <w:rsid w:val="006B6AC2"/>
    <w:rsid w:val="006C03B8"/>
    <w:rsid w:val="006C2404"/>
    <w:rsid w:val="006C243D"/>
    <w:rsid w:val="006C248B"/>
    <w:rsid w:val="006C5EC9"/>
    <w:rsid w:val="006C6059"/>
    <w:rsid w:val="006C63E3"/>
    <w:rsid w:val="006C7522"/>
    <w:rsid w:val="006D18E6"/>
    <w:rsid w:val="006D2C28"/>
    <w:rsid w:val="006D2DE6"/>
    <w:rsid w:val="006D6F08"/>
    <w:rsid w:val="006D7918"/>
    <w:rsid w:val="006E062C"/>
    <w:rsid w:val="006E1C82"/>
    <w:rsid w:val="006E28B7"/>
    <w:rsid w:val="006E2A9B"/>
    <w:rsid w:val="006E3310"/>
    <w:rsid w:val="006E3BD8"/>
    <w:rsid w:val="006E4E39"/>
    <w:rsid w:val="006E565E"/>
    <w:rsid w:val="006E5FCC"/>
    <w:rsid w:val="006E6137"/>
    <w:rsid w:val="006E673D"/>
    <w:rsid w:val="006E73FA"/>
    <w:rsid w:val="006E7812"/>
    <w:rsid w:val="006E7D3B"/>
    <w:rsid w:val="006F1B70"/>
    <w:rsid w:val="006F341D"/>
    <w:rsid w:val="006F3CDE"/>
    <w:rsid w:val="006F49E8"/>
    <w:rsid w:val="006F567B"/>
    <w:rsid w:val="006F58D4"/>
    <w:rsid w:val="006F61FC"/>
    <w:rsid w:val="006F6582"/>
    <w:rsid w:val="006F69B9"/>
    <w:rsid w:val="00701A81"/>
    <w:rsid w:val="00703226"/>
    <w:rsid w:val="0070346E"/>
    <w:rsid w:val="00704EDB"/>
    <w:rsid w:val="00706101"/>
    <w:rsid w:val="00707072"/>
    <w:rsid w:val="00707D61"/>
    <w:rsid w:val="00707EA8"/>
    <w:rsid w:val="0071136D"/>
    <w:rsid w:val="00712287"/>
    <w:rsid w:val="00712772"/>
    <w:rsid w:val="007139A2"/>
    <w:rsid w:val="007148D3"/>
    <w:rsid w:val="00715307"/>
    <w:rsid w:val="00715B9A"/>
    <w:rsid w:val="0071686D"/>
    <w:rsid w:val="00722D9F"/>
    <w:rsid w:val="007233DC"/>
    <w:rsid w:val="00724930"/>
    <w:rsid w:val="007257D0"/>
    <w:rsid w:val="00725A61"/>
    <w:rsid w:val="0072644D"/>
    <w:rsid w:val="00726D75"/>
    <w:rsid w:val="00726EA6"/>
    <w:rsid w:val="00727208"/>
    <w:rsid w:val="00727680"/>
    <w:rsid w:val="007337E8"/>
    <w:rsid w:val="00734457"/>
    <w:rsid w:val="007348B1"/>
    <w:rsid w:val="00734C02"/>
    <w:rsid w:val="007362A6"/>
    <w:rsid w:val="00736896"/>
    <w:rsid w:val="00736D7D"/>
    <w:rsid w:val="007373C8"/>
    <w:rsid w:val="00740E58"/>
    <w:rsid w:val="00741DC6"/>
    <w:rsid w:val="00742F55"/>
    <w:rsid w:val="007445A0"/>
    <w:rsid w:val="0074524B"/>
    <w:rsid w:val="00745350"/>
    <w:rsid w:val="007453CC"/>
    <w:rsid w:val="00745B66"/>
    <w:rsid w:val="00747D8B"/>
    <w:rsid w:val="00751228"/>
    <w:rsid w:val="00751BD6"/>
    <w:rsid w:val="00752E85"/>
    <w:rsid w:val="00753E35"/>
    <w:rsid w:val="00755A30"/>
    <w:rsid w:val="007571E1"/>
    <w:rsid w:val="007604B2"/>
    <w:rsid w:val="00760530"/>
    <w:rsid w:val="00763800"/>
    <w:rsid w:val="00764100"/>
    <w:rsid w:val="00764765"/>
    <w:rsid w:val="00765281"/>
    <w:rsid w:val="007663FC"/>
    <w:rsid w:val="007668F8"/>
    <w:rsid w:val="00766BAD"/>
    <w:rsid w:val="00766FF2"/>
    <w:rsid w:val="00770A2F"/>
    <w:rsid w:val="007729A2"/>
    <w:rsid w:val="007755F2"/>
    <w:rsid w:val="00776971"/>
    <w:rsid w:val="00780A80"/>
    <w:rsid w:val="00780C43"/>
    <w:rsid w:val="0078177E"/>
    <w:rsid w:val="0078304C"/>
    <w:rsid w:val="00783673"/>
    <w:rsid w:val="007840DA"/>
    <w:rsid w:val="00784B8E"/>
    <w:rsid w:val="00785490"/>
    <w:rsid w:val="0078707E"/>
    <w:rsid w:val="007925EA"/>
    <w:rsid w:val="00792C32"/>
    <w:rsid w:val="00793CD8"/>
    <w:rsid w:val="007951C8"/>
    <w:rsid w:val="00795C92"/>
    <w:rsid w:val="00796231"/>
    <w:rsid w:val="00797E06"/>
    <w:rsid w:val="007A1CB3"/>
    <w:rsid w:val="007A306F"/>
    <w:rsid w:val="007A3B3F"/>
    <w:rsid w:val="007A43A6"/>
    <w:rsid w:val="007A5449"/>
    <w:rsid w:val="007A58A6"/>
    <w:rsid w:val="007A5A7F"/>
    <w:rsid w:val="007A5BED"/>
    <w:rsid w:val="007A6895"/>
    <w:rsid w:val="007A711D"/>
    <w:rsid w:val="007B04CB"/>
    <w:rsid w:val="007B1600"/>
    <w:rsid w:val="007B222E"/>
    <w:rsid w:val="007B3D2D"/>
    <w:rsid w:val="007B50AE"/>
    <w:rsid w:val="007B51DF"/>
    <w:rsid w:val="007B5310"/>
    <w:rsid w:val="007C05DD"/>
    <w:rsid w:val="007C11CD"/>
    <w:rsid w:val="007C3D18"/>
    <w:rsid w:val="007C3E03"/>
    <w:rsid w:val="007C4DBD"/>
    <w:rsid w:val="007C56C4"/>
    <w:rsid w:val="007C60BF"/>
    <w:rsid w:val="007C688F"/>
    <w:rsid w:val="007C6A07"/>
    <w:rsid w:val="007C75A1"/>
    <w:rsid w:val="007C77A5"/>
    <w:rsid w:val="007D04E5"/>
    <w:rsid w:val="007D5901"/>
    <w:rsid w:val="007D7526"/>
    <w:rsid w:val="007E0223"/>
    <w:rsid w:val="007E26BB"/>
    <w:rsid w:val="007E2BB8"/>
    <w:rsid w:val="007E4610"/>
    <w:rsid w:val="007E4715"/>
    <w:rsid w:val="007E49F1"/>
    <w:rsid w:val="007E505B"/>
    <w:rsid w:val="007E7091"/>
    <w:rsid w:val="007F07E6"/>
    <w:rsid w:val="007F0F49"/>
    <w:rsid w:val="007F1DE5"/>
    <w:rsid w:val="007F35BD"/>
    <w:rsid w:val="007F371B"/>
    <w:rsid w:val="007F41F9"/>
    <w:rsid w:val="007F4C4E"/>
    <w:rsid w:val="007F6333"/>
    <w:rsid w:val="007F6E1C"/>
    <w:rsid w:val="00800D8E"/>
    <w:rsid w:val="00802C0E"/>
    <w:rsid w:val="00803FAE"/>
    <w:rsid w:val="0080605F"/>
    <w:rsid w:val="008072B6"/>
    <w:rsid w:val="00807786"/>
    <w:rsid w:val="00807C83"/>
    <w:rsid w:val="00811FCB"/>
    <w:rsid w:val="00812652"/>
    <w:rsid w:val="008158D6"/>
    <w:rsid w:val="00817196"/>
    <w:rsid w:val="00817748"/>
    <w:rsid w:val="0082107E"/>
    <w:rsid w:val="008212E4"/>
    <w:rsid w:val="008235DB"/>
    <w:rsid w:val="00823E5E"/>
    <w:rsid w:val="00824A3A"/>
    <w:rsid w:val="00824AB4"/>
    <w:rsid w:val="00825B63"/>
    <w:rsid w:val="00825C42"/>
    <w:rsid w:val="00825D25"/>
    <w:rsid w:val="00827D6F"/>
    <w:rsid w:val="00832F73"/>
    <w:rsid w:val="00834936"/>
    <w:rsid w:val="00835213"/>
    <w:rsid w:val="00835699"/>
    <w:rsid w:val="00835F53"/>
    <w:rsid w:val="008376AC"/>
    <w:rsid w:val="00837897"/>
    <w:rsid w:val="00843099"/>
    <w:rsid w:val="008444E8"/>
    <w:rsid w:val="00844E80"/>
    <w:rsid w:val="00845373"/>
    <w:rsid w:val="00846B07"/>
    <w:rsid w:val="00846FE7"/>
    <w:rsid w:val="0085059E"/>
    <w:rsid w:val="00854FCD"/>
    <w:rsid w:val="0085548D"/>
    <w:rsid w:val="00856411"/>
    <w:rsid w:val="00856911"/>
    <w:rsid w:val="00856A8C"/>
    <w:rsid w:val="0086131A"/>
    <w:rsid w:val="0086143B"/>
    <w:rsid w:val="0086219F"/>
    <w:rsid w:val="00864123"/>
    <w:rsid w:val="008677FD"/>
    <w:rsid w:val="008706D4"/>
    <w:rsid w:val="00870AE6"/>
    <w:rsid w:val="00870F8A"/>
    <w:rsid w:val="008719A4"/>
    <w:rsid w:val="00871D23"/>
    <w:rsid w:val="00873A11"/>
    <w:rsid w:val="00874312"/>
    <w:rsid w:val="0087437C"/>
    <w:rsid w:val="00875CD7"/>
    <w:rsid w:val="00875EA6"/>
    <w:rsid w:val="00876A17"/>
    <w:rsid w:val="00876B4D"/>
    <w:rsid w:val="00877F18"/>
    <w:rsid w:val="00880987"/>
    <w:rsid w:val="00880B70"/>
    <w:rsid w:val="008832DF"/>
    <w:rsid w:val="00883EEE"/>
    <w:rsid w:val="008851DB"/>
    <w:rsid w:val="008878D9"/>
    <w:rsid w:val="008940C3"/>
    <w:rsid w:val="008941E3"/>
    <w:rsid w:val="00894A88"/>
    <w:rsid w:val="00894E52"/>
    <w:rsid w:val="00895386"/>
    <w:rsid w:val="008976E7"/>
    <w:rsid w:val="008A08C9"/>
    <w:rsid w:val="008A091E"/>
    <w:rsid w:val="008A21FF"/>
    <w:rsid w:val="008A2CE2"/>
    <w:rsid w:val="008A30AC"/>
    <w:rsid w:val="008A44B8"/>
    <w:rsid w:val="008A51A8"/>
    <w:rsid w:val="008A54C7"/>
    <w:rsid w:val="008A6696"/>
    <w:rsid w:val="008A77D8"/>
    <w:rsid w:val="008A7805"/>
    <w:rsid w:val="008B0483"/>
    <w:rsid w:val="008B0EBD"/>
    <w:rsid w:val="008B120C"/>
    <w:rsid w:val="008B2831"/>
    <w:rsid w:val="008B51A0"/>
    <w:rsid w:val="008B592A"/>
    <w:rsid w:val="008B7B5C"/>
    <w:rsid w:val="008C0C99"/>
    <w:rsid w:val="008C2017"/>
    <w:rsid w:val="008C34DD"/>
    <w:rsid w:val="008C4958"/>
    <w:rsid w:val="008C4BAA"/>
    <w:rsid w:val="008C5F2F"/>
    <w:rsid w:val="008C6AE8"/>
    <w:rsid w:val="008C7573"/>
    <w:rsid w:val="008C7E48"/>
    <w:rsid w:val="008D00A5"/>
    <w:rsid w:val="008D34F1"/>
    <w:rsid w:val="008D39D8"/>
    <w:rsid w:val="008D6D1A"/>
    <w:rsid w:val="008D73CF"/>
    <w:rsid w:val="008D79ED"/>
    <w:rsid w:val="008E065E"/>
    <w:rsid w:val="008E0927"/>
    <w:rsid w:val="008E0FBE"/>
    <w:rsid w:val="008E0FD8"/>
    <w:rsid w:val="008E1909"/>
    <w:rsid w:val="008E2C90"/>
    <w:rsid w:val="008E4407"/>
    <w:rsid w:val="008F173F"/>
    <w:rsid w:val="008F1C4E"/>
    <w:rsid w:val="008F1EAB"/>
    <w:rsid w:val="008F25B7"/>
    <w:rsid w:val="008F33DC"/>
    <w:rsid w:val="008F477F"/>
    <w:rsid w:val="008F52E7"/>
    <w:rsid w:val="008F720D"/>
    <w:rsid w:val="00900588"/>
    <w:rsid w:val="00902350"/>
    <w:rsid w:val="0090336B"/>
    <w:rsid w:val="009042D4"/>
    <w:rsid w:val="009053AA"/>
    <w:rsid w:val="0090659D"/>
    <w:rsid w:val="00906939"/>
    <w:rsid w:val="00910B7D"/>
    <w:rsid w:val="00911979"/>
    <w:rsid w:val="00911DFB"/>
    <w:rsid w:val="009131BC"/>
    <w:rsid w:val="009139D9"/>
    <w:rsid w:val="00913BD7"/>
    <w:rsid w:val="00914AD8"/>
    <w:rsid w:val="00916079"/>
    <w:rsid w:val="00917C78"/>
    <w:rsid w:val="00917CE9"/>
    <w:rsid w:val="00920BF2"/>
    <w:rsid w:val="00921631"/>
    <w:rsid w:val="00922010"/>
    <w:rsid w:val="0092215C"/>
    <w:rsid w:val="00922424"/>
    <w:rsid w:val="009235AE"/>
    <w:rsid w:val="009262D0"/>
    <w:rsid w:val="00926C08"/>
    <w:rsid w:val="00927965"/>
    <w:rsid w:val="009316FE"/>
    <w:rsid w:val="00931BD9"/>
    <w:rsid w:val="00934938"/>
    <w:rsid w:val="00935DA4"/>
    <w:rsid w:val="009368D6"/>
    <w:rsid w:val="009368F3"/>
    <w:rsid w:val="00940CD7"/>
    <w:rsid w:val="00940CDF"/>
    <w:rsid w:val="00941456"/>
    <w:rsid w:val="00941636"/>
    <w:rsid w:val="00942602"/>
    <w:rsid w:val="0094372A"/>
    <w:rsid w:val="00943742"/>
    <w:rsid w:val="00945C05"/>
    <w:rsid w:val="00946945"/>
    <w:rsid w:val="00947713"/>
    <w:rsid w:val="00950DE7"/>
    <w:rsid w:val="00950F7E"/>
    <w:rsid w:val="00951368"/>
    <w:rsid w:val="00952029"/>
    <w:rsid w:val="00953920"/>
    <w:rsid w:val="00953D47"/>
    <w:rsid w:val="00955628"/>
    <w:rsid w:val="0095681E"/>
    <w:rsid w:val="009572D4"/>
    <w:rsid w:val="00961921"/>
    <w:rsid w:val="00962723"/>
    <w:rsid w:val="0096430A"/>
    <w:rsid w:val="00964D82"/>
    <w:rsid w:val="0096554B"/>
    <w:rsid w:val="0096584A"/>
    <w:rsid w:val="009704F0"/>
    <w:rsid w:val="00971556"/>
    <w:rsid w:val="009715CB"/>
    <w:rsid w:val="00971F08"/>
    <w:rsid w:val="0097212D"/>
    <w:rsid w:val="00972DDD"/>
    <w:rsid w:val="009737E6"/>
    <w:rsid w:val="00974D44"/>
    <w:rsid w:val="0097589B"/>
    <w:rsid w:val="0097603D"/>
    <w:rsid w:val="00976294"/>
    <w:rsid w:val="00976575"/>
    <w:rsid w:val="00976949"/>
    <w:rsid w:val="00980477"/>
    <w:rsid w:val="009816BA"/>
    <w:rsid w:val="00981B48"/>
    <w:rsid w:val="00985253"/>
    <w:rsid w:val="009853B3"/>
    <w:rsid w:val="00987045"/>
    <w:rsid w:val="00987769"/>
    <w:rsid w:val="00990630"/>
    <w:rsid w:val="00991761"/>
    <w:rsid w:val="00991D64"/>
    <w:rsid w:val="00992F30"/>
    <w:rsid w:val="00994DCA"/>
    <w:rsid w:val="009960EC"/>
    <w:rsid w:val="00996A2F"/>
    <w:rsid w:val="009970DD"/>
    <w:rsid w:val="009A0FBA"/>
    <w:rsid w:val="009A1601"/>
    <w:rsid w:val="009A3BB6"/>
    <w:rsid w:val="009A462D"/>
    <w:rsid w:val="009A47D2"/>
    <w:rsid w:val="009A4AF5"/>
    <w:rsid w:val="009A5CBA"/>
    <w:rsid w:val="009A75E3"/>
    <w:rsid w:val="009A797D"/>
    <w:rsid w:val="009B0BE6"/>
    <w:rsid w:val="009B1F30"/>
    <w:rsid w:val="009B3AC2"/>
    <w:rsid w:val="009B3FE7"/>
    <w:rsid w:val="009B4DF4"/>
    <w:rsid w:val="009B564E"/>
    <w:rsid w:val="009B712B"/>
    <w:rsid w:val="009B7E87"/>
    <w:rsid w:val="009C0169"/>
    <w:rsid w:val="009C319A"/>
    <w:rsid w:val="009C403E"/>
    <w:rsid w:val="009C42EF"/>
    <w:rsid w:val="009C604E"/>
    <w:rsid w:val="009D148B"/>
    <w:rsid w:val="009D1A52"/>
    <w:rsid w:val="009D20AE"/>
    <w:rsid w:val="009D4488"/>
    <w:rsid w:val="009D4FF0"/>
    <w:rsid w:val="009D5FA7"/>
    <w:rsid w:val="009D703C"/>
    <w:rsid w:val="009D718F"/>
    <w:rsid w:val="009D72EC"/>
    <w:rsid w:val="009E068F"/>
    <w:rsid w:val="009E14E0"/>
    <w:rsid w:val="009E35DB"/>
    <w:rsid w:val="009E47A3"/>
    <w:rsid w:val="009E6EFB"/>
    <w:rsid w:val="009F08F3"/>
    <w:rsid w:val="009F20BC"/>
    <w:rsid w:val="009F2834"/>
    <w:rsid w:val="009F3040"/>
    <w:rsid w:val="009F344F"/>
    <w:rsid w:val="009F5F4F"/>
    <w:rsid w:val="009F6BBD"/>
    <w:rsid w:val="00A00DFD"/>
    <w:rsid w:val="00A0179D"/>
    <w:rsid w:val="00A01A83"/>
    <w:rsid w:val="00A01FA7"/>
    <w:rsid w:val="00A031D8"/>
    <w:rsid w:val="00A0363A"/>
    <w:rsid w:val="00A04762"/>
    <w:rsid w:val="00A048A8"/>
    <w:rsid w:val="00A048E4"/>
    <w:rsid w:val="00A04C61"/>
    <w:rsid w:val="00A04F49"/>
    <w:rsid w:val="00A10E9C"/>
    <w:rsid w:val="00A13E54"/>
    <w:rsid w:val="00A13FAE"/>
    <w:rsid w:val="00A16778"/>
    <w:rsid w:val="00A16DA2"/>
    <w:rsid w:val="00A17010"/>
    <w:rsid w:val="00A174AF"/>
    <w:rsid w:val="00A17F63"/>
    <w:rsid w:val="00A204DE"/>
    <w:rsid w:val="00A2193B"/>
    <w:rsid w:val="00A23310"/>
    <w:rsid w:val="00A2351A"/>
    <w:rsid w:val="00A264A9"/>
    <w:rsid w:val="00A26DCF"/>
    <w:rsid w:val="00A27785"/>
    <w:rsid w:val="00A30187"/>
    <w:rsid w:val="00A3448A"/>
    <w:rsid w:val="00A35A2C"/>
    <w:rsid w:val="00A35BDE"/>
    <w:rsid w:val="00A36297"/>
    <w:rsid w:val="00A37422"/>
    <w:rsid w:val="00A41C33"/>
    <w:rsid w:val="00A41E2B"/>
    <w:rsid w:val="00A45572"/>
    <w:rsid w:val="00A45B74"/>
    <w:rsid w:val="00A51B77"/>
    <w:rsid w:val="00A52E1D"/>
    <w:rsid w:val="00A54188"/>
    <w:rsid w:val="00A56E47"/>
    <w:rsid w:val="00A61499"/>
    <w:rsid w:val="00A61E4F"/>
    <w:rsid w:val="00A62A77"/>
    <w:rsid w:val="00A63483"/>
    <w:rsid w:val="00A648BB"/>
    <w:rsid w:val="00A657D7"/>
    <w:rsid w:val="00A65AA1"/>
    <w:rsid w:val="00A660AC"/>
    <w:rsid w:val="00A6770A"/>
    <w:rsid w:val="00A67E6C"/>
    <w:rsid w:val="00A71B99"/>
    <w:rsid w:val="00A73353"/>
    <w:rsid w:val="00A739D0"/>
    <w:rsid w:val="00A761D4"/>
    <w:rsid w:val="00A76881"/>
    <w:rsid w:val="00A77573"/>
    <w:rsid w:val="00A77EC4"/>
    <w:rsid w:val="00A8065A"/>
    <w:rsid w:val="00A82B36"/>
    <w:rsid w:val="00A845ED"/>
    <w:rsid w:val="00A86083"/>
    <w:rsid w:val="00A86F62"/>
    <w:rsid w:val="00A878D0"/>
    <w:rsid w:val="00A92879"/>
    <w:rsid w:val="00A93C78"/>
    <w:rsid w:val="00A9442A"/>
    <w:rsid w:val="00A96107"/>
    <w:rsid w:val="00AA016F"/>
    <w:rsid w:val="00AA0A74"/>
    <w:rsid w:val="00AA1ED6"/>
    <w:rsid w:val="00AA4911"/>
    <w:rsid w:val="00AA4E56"/>
    <w:rsid w:val="00AA51D6"/>
    <w:rsid w:val="00AA534C"/>
    <w:rsid w:val="00AB0BC8"/>
    <w:rsid w:val="00AB11CA"/>
    <w:rsid w:val="00AB14D9"/>
    <w:rsid w:val="00AB2C69"/>
    <w:rsid w:val="00AB2FB9"/>
    <w:rsid w:val="00AB3566"/>
    <w:rsid w:val="00AB4949"/>
    <w:rsid w:val="00AB4AB8"/>
    <w:rsid w:val="00AB5C27"/>
    <w:rsid w:val="00AB655E"/>
    <w:rsid w:val="00AC007B"/>
    <w:rsid w:val="00AC007F"/>
    <w:rsid w:val="00AC1602"/>
    <w:rsid w:val="00AC2D9F"/>
    <w:rsid w:val="00AC2ECD"/>
    <w:rsid w:val="00AC3119"/>
    <w:rsid w:val="00AC49FB"/>
    <w:rsid w:val="00AC5A10"/>
    <w:rsid w:val="00AD01C8"/>
    <w:rsid w:val="00AD0AA3"/>
    <w:rsid w:val="00AD0B80"/>
    <w:rsid w:val="00AD2ED0"/>
    <w:rsid w:val="00AD3F94"/>
    <w:rsid w:val="00AD4A5A"/>
    <w:rsid w:val="00AE13B2"/>
    <w:rsid w:val="00AE27AC"/>
    <w:rsid w:val="00AE346D"/>
    <w:rsid w:val="00AE3498"/>
    <w:rsid w:val="00AE40E0"/>
    <w:rsid w:val="00AE4DBA"/>
    <w:rsid w:val="00AE4F07"/>
    <w:rsid w:val="00AF0DD7"/>
    <w:rsid w:val="00AF12E1"/>
    <w:rsid w:val="00AF1C5D"/>
    <w:rsid w:val="00AF1CF8"/>
    <w:rsid w:val="00AF42D7"/>
    <w:rsid w:val="00AF71E2"/>
    <w:rsid w:val="00AF76D0"/>
    <w:rsid w:val="00B006FE"/>
    <w:rsid w:val="00B007CB"/>
    <w:rsid w:val="00B02AA9"/>
    <w:rsid w:val="00B02FA3"/>
    <w:rsid w:val="00B042B1"/>
    <w:rsid w:val="00B0480B"/>
    <w:rsid w:val="00B04F96"/>
    <w:rsid w:val="00B05084"/>
    <w:rsid w:val="00B07FDD"/>
    <w:rsid w:val="00B10B14"/>
    <w:rsid w:val="00B157F9"/>
    <w:rsid w:val="00B172DF"/>
    <w:rsid w:val="00B17433"/>
    <w:rsid w:val="00B175AB"/>
    <w:rsid w:val="00B20256"/>
    <w:rsid w:val="00B20D09"/>
    <w:rsid w:val="00B2763F"/>
    <w:rsid w:val="00B278A4"/>
    <w:rsid w:val="00B27AAC"/>
    <w:rsid w:val="00B30929"/>
    <w:rsid w:val="00B30AA1"/>
    <w:rsid w:val="00B325AC"/>
    <w:rsid w:val="00B36AFA"/>
    <w:rsid w:val="00B372AA"/>
    <w:rsid w:val="00B40445"/>
    <w:rsid w:val="00B406A1"/>
    <w:rsid w:val="00B409E0"/>
    <w:rsid w:val="00B41888"/>
    <w:rsid w:val="00B420F5"/>
    <w:rsid w:val="00B45A52"/>
    <w:rsid w:val="00B46175"/>
    <w:rsid w:val="00B47837"/>
    <w:rsid w:val="00B50179"/>
    <w:rsid w:val="00B548B7"/>
    <w:rsid w:val="00B56759"/>
    <w:rsid w:val="00B56886"/>
    <w:rsid w:val="00B57E78"/>
    <w:rsid w:val="00B66261"/>
    <w:rsid w:val="00B664C7"/>
    <w:rsid w:val="00B665F7"/>
    <w:rsid w:val="00B66A0C"/>
    <w:rsid w:val="00B67AAE"/>
    <w:rsid w:val="00B70A53"/>
    <w:rsid w:val="00B739F6"/>
    <w:rsid w:val="00B74877"/>
    <w:rsid w:val="00B75504"/>
    <w:rsid w:val="00B765AD"/>
    <w:rsid w:val="00B770BA"/>
    <w:rsid w:val="00B7737F"/>
    <w:rsid w:val="00B77989"/>
    <w:rsid w:val="00B804E5"/>
    <w:rsid w:val="00B806FF"/>
    <w:rsid w:val="00B81A6C"/>
    <w:rsid w:val="00B82EE0"/>
    <w:rsid w:val="00B84D53"/>
    <w:rsid w:val="00B85DE5"/>
    <w:rsid w:val="00B86193"/>
    <w:rsid w:val="00B86347"/>
    <w:rsid w:val="00B86A59"/>
    <w:rsid w:val="00B8743E"/>
    <w:rsid w:val="00B90F73"/>
    <w:rsid w:val="00B910C0"/>
    <w:rsid w:val="00B92ABE"/>
    <w:rsid w:val="00B93020"/>
    <w:rsid w:val="00B93451"/>
    <w:rsid w:val="00B93981"/>
    <w:rsid w:val="00B93B59"/>
    <w:rsid w:val="00B93FDC"/>
    <w:rsid w:val="00B9406A"/>
    <w:rsid w:val="00B9568D"/>
    <w:rsid w:val="00B961C5"/>
    <w:rsid w:val="00BA2280"/>
    <w:rsid w:val="00BA2A08"/>
    <w:rsid w:val="00BA325B"/>
    <w:rsid w:val="00BA3BA2"/>
    <w:rsid w:val="00BA4A05"/>
    <w:rsid w:val="00BA56D2"/>
    <w:rsid w:val="00BA76E0"/>
    <w:rsid w:val="00BA7F4B"/>
    <w:rsid w:val="00BB0916"/>
    <w:rsid w:val="00BB2A25"/>
    <w:rsid w:val="00BB2BC5"/>
    <w:rsid w:val="00BB4386"/>
    <w:rsid w:val="00BB51E7"/>
    <w:rsid w:val="00BB51E9"/>
    <w:rsid w:val="00BC0FDC"/>
    <w:rsid w:val="00BC230F"/>
    <w:rsid w:val="00BC3053"/>
    <w:rsid w:val="00BC4D2E"/>
    <w:rsid w:val="00BC64A9"/>
    <w:rsid w:val="00BC6BDD"/>
    <w:rsid w:val="00BD0EB2"/>
    <w:rsid w:val="00BD48AC"/>
    <w:rsid w:val="00BD5B0C"/>
    <w:rsid w:val="00BD5F1A"/>
    <w:rsid w:val="00BD7160"/>
    <w:rsid w:val="00BE0C88"/>
    <w:rsid w:val="00BE1234"/>
    <w:rsid w:val="00BE136B"/>
    <w:rsid w:val="00BE2FA6"/>
    <w:rsid w:val="00BE333F"/>
    <w:rsid w:val="00BE557E"/>
    <w:rsid w:val="00BE7406"/>
    <w:rsid w:val="00BE7603"/>
    <w:rsid w:val="00BF3279"/>
    <w:rsid w:val="00BF4DA1"/>
    <w:rsid w:val="00BF74C7"/>
    <w:rsid w:val="00C004C7"/>
    <w:rsid w:val="00C015F1"/>
    <w:rsid w:val="00C01F33"/>
    <w:rsid w:val="00C02504"/>
    <w:rsid w:val="00C02AFC"/>
    <w:rsid w:val="00C02CC6"/>
    <w:rsid w:val="00C040F7"/>
    <w:rsid w:val="00C043D8"/>
    <w:rsid w:val="00C044AB"/>
    <w:rsid w:val="00C05706"/>
    <w:rsid w:val="00C06924"/>
    <w:rsid w:val="00C06CCE"/>
    <w:rsid w:val="00C07377"/>
    <w:rsid w:val="00C0794E"/>
    <w:rsid w:val="00C10478"/>
    <w:rsid w:val="00C10A53"/>
    <w:rsid w:val="00C10B40"/>
    <w:rsid w:val="00C12107"/>
    <w:rsid w:val="00C1363F"/>
    <w:rsid w:val="00C13B51"/>
    <w:rsid w:val="00C14D4B"/>
    <w:rsid w:val="00C150B4"/>
    <w:rsid w:val="00C154BB"/>
    <w:rsid w:val="00C16A81"/>
    <w:rsid w:val="00C16A87"/>
    <w:rsid w:val="00C242DB"/>
    <w:rsid w:val="00C2543A"/>
    <w:rsid w:val="00C25458"/>
    <w:rsid w:val="00C270A9"/>
    <w:rsid w:val="00C279B5"/>
    <w:rsid w:val="00C27C45"/>
    <w:rsid w:val="00C27D14"/>
    <w:rsid w:val="00C32899"/>
    <w:rsid w:val="00C33FF2"/>
    <w:rsid w:val="00C36E4C"/>
    <w:rsid w:val="00C3719D"/>
    <w:rsid w:val="00C37CB2"/>
    <w:rsid w:val="00C41009"/>
    <w:rsid w:val="00C4190C"/>
    <w:rsid w:val="00C43A91"/>
    <w:rsid w:val="00C473A5"/>
    <w:rsid w:val="00C51BBA"/>
    <w:rsid w:val="00C537F1"/>
    <w:rsid w:val="00C54995"/>
    <w:rsid w:val="00C54D41"/>
    <w:rsid w:val="00C55098"/>
    <w:rsid w:val="00C562CF"/>
    <w:rsid w:val="00C6013F"/>
    <w:rsid w:val="00C60783"/>
    <w:rsid w:val="00C61AEC"/>
    <w:rsid w:val="00C64672"/>
    <w:rsid w:val="00C64A61"/>
    <w:rsid w:val="00C70697"/>
    <w:rsid w:val="00C70AF8"/>
    <w:rsid w:val="00C71C20"/>
    <w:rsid w:val="00C72093"/>
    <w:rsid w:val="00C72EF4"/>
    <w:rsid w:val="00C74040"/>
    <w:rsid w:val="00C744FE"/>
    <w:rsid w:val="00C74808"/>
    <w:rsid w:val="00C74E23"/>
    <w:rsid w:val="00C75D2F"/>
    <w:rsid w:val="00C767BE"/>
    <w:rsid w:val="00C76E3C"/>
    <w:rsid w:val="00C81568"/>
    <w:rsid w:val="00C820A8"/>
    <w:rsid w:val="00C9027A"/>
    <w:rsid w:val="00C9068E"/>
    <w:rsid w:val="00C91119"/>
    <w:rsid w:val="00C93814"/>
    <w:rsid w:val="00C93C4B"/>
    <w:rsid w:val="00C93FC0"/>
    <w:rsid w:val="00C944AB"/>
    <w:rsid w:val="00C95B40"/>
    <w:rsid w:val="00C97093"/>
    <w:rsid w:val="00CA0151"/>
    <w:rsid w:val="00CA1ED8"/>
    <w:rsid w:val="00CA7EDD"/>
    <w:rsid w:val="00CB0E6A"/>
    <w:rsid w:val="00CB1F63"/>
    <w:rsid w:val="00CB52E8"/>
    <w:rsid w:val="00CB56E0"/>
    <w:rsid w:val="00CB6F80"/>
    <w:rsid w:val="00CB7170"/>
    <w:rsid w:val="00CC040E"/>
    <w:rsid w:val="00CC111F"/>
    <w:rsid w:val="00CC2011"/>
    <w:rsid w:val="00CC293B"/>
    <w:rsid w:val="00CC2C75"/>
    <w:rsid w:val="00CC3EA0"/>
    <w:rsid w:val="00CC3FC8"/>
    <w:rsid w:val="00CC7B45"/>
    <w:rsid w:val="00CD1188"/>
    <w:rsid w:val="00CD1CF6"/>
    <w:rsid w:val="00CD211A"/>
    <w:rsid w:val="00CD2ED1"/>
    <w:rsid w:val="00CD337B"/>
    <w:rsid w:val="00CE0424"/>
    <w:rsid w:val="00CE0BF7"/>
    <w:rsid w:val="00CE25BF"/>
    <w:rsid w:val="00CE3856"/>
    <w:rsid w:val="00CE4EBB"/>
    <w:rsid w:val="00CE6E3F"/>
    <w:rsid w:val="00CE7561"/>
    <w:rsid w:val="00CF1354"/>
    <w:rsid w:val="00CF2323"/>
    <w:rsid w:val="00CF3B1F"/>
    <w:rsid w:val="00CF3BF6"/>
    <w:rsid w:val="00CF4E1F"/>
    <w:rsid w:val="00CF5772"/>
    <w:rsid w:val="00CF5F86"/>
    <w:rsid w:val="00CF625B"/>
    <w:rsid w:val="00CF687E"/>
    <w:rsid w:val="00D00271"/>
    <w:rsid w:val="00D033B0"/>
    <w:rsid w:val="00D0349B"/>
    <w:rsid w:val="00D05FBC"/>
    <w:rsid w:val="00D07FA9"/>
    <w:rsid w:val="00D10249"/>
    <w:rsid w:val="00D115C3"/>
    <w:rsid w:val="00D11897"/>
    <w:rsid w:val="00D11FAD"/>
    <w:rsid w:val="00D13135"/>
    <w:rsid w:val="00D13E4E"/>
    <w:rsid w:val="00D16AC5"/>
    <w:rsid w:val="00D21029"/>
    <w:rsid w:val="00D236DB"/>
    <w:rsid w:val="00D239A7"/>
    <w:rsid w:val="00D23B0D"/>
    <w:rsid w:val="00D23F47"/>
    <w:rsid w:val="00D25BD1"/>
    <w:rsid w:val="00D26092"/>
    <w:rsid w:val="00D275D5"/>
    <w:rsid w:val="00D30191"/>
    <w:rsid w:val="00D31620"/>
    <w:rsid w:val="00D36E71"/>
    <w:rsid w:val="00D37D87"/>
    <w:rsid w:val="00D40164"/>
    <w:rsid w:val="00D40B33"/>
    <w:rsid w:val="00D4318F"/>
    <w:rsid w:val="00D438BF"/>
    <w:rsid w:val="00D43F91"/>
    <w:rsid w:val="00D440F8"/>
    <w:rsid w:val="00D45354"/>
    <w:rsid w:val="00D47BBE"/>
    <w:rsid w:val="00D50E11"/>
    <w:rsid w:val="00D5289B"/>
    <w:rsid w:val="00D546FF"/>
    <w:rsid w:val="00D55AD5"/>
    <w:rsid w:val="00D576CA"/>
    <w:rsid w:val="00D60962"/>
    <w:rsid w:val="00D618CD"/>
    <w:rsid w:val="00D61AF5"/>
    <w:rsid w:val="00D652B5"/>
    <w:rsid w:val="00D65F32"/>
    <w:rsid w:val="00D66155"/>
    <w:rsid w:val="00D6798C"/>
    <w:rsid w:val="00D702C1"/>
    <w:rsid w:val="00D708B0"/>
    <w:rsid w:val="00D77B1D"/>
    <w:rsid w:val="00D8021F"/>
    <w:rsid w:val="00D80383"/>
    <w:rsid w:val="00D8096F"/>
    <w:rsid w:val="00D81ED4"/>
    <w:rsid w:val="00D823C6"/>
    <w:rsid w:val="00D8327F"/>
    <w:rsid w:val="00D83A5E"/>
    <w:rsid w:val="00D842C0"/>
    <w:rsid w:val="00D86CA3"/>
    <w:rsid w:val="00D87132"/>
    <w:rsid w:val="00D871CE"/>
    <w:rsid w:val="00D90963"/>
    <w:rsid w:val="00D9196D"/>
    <w:rsid w:val="00D92982"/>
    <w:rsid w:val="00D930C9"/>
    <w:rsid w:val="00D94341"/>
    <w:rsid w:val="00D9484D"/>
    <w:rsid w:val="00D95CA9"/>
    <w:rsid w:val="00DA13D7"/>
    <w:rsid w:val="00DA1E39"/>
    <w:rsid w:val="00DA305E"/>
    <w:rsid w:val="00DA3366"/>
    <w:rsid w:val="00DA4056"/>
    <w:rsid w:val="00DA5417"/>
    <w:rsid w:val="00DA56E8"/>
    <w:rsid w:val="00DB0A9F"/>
    <w:rsid w:val="00DB377D"/>
    <w:rsid w:val="00DB60BC"/>
    <w:rsid w:val="00DB6B8F"/>
    <w:rsid w:val="00DC17BD"/>
    <w:rsid w:val="00DC2D36"/>
    <w:rsid w:val="00DC34F3"/>
    <w:rsid w:val="00DC53EF"/>
    <w:rsid w:val="00DC5AE4"/>
    <w:rsid w:val="00DD648B"/>
    <w:rsid w:val="00DE073F"/>
    <w:rsid w:val="00DE0C85"/>
    <w:rsid w:val="00DE193D"/>
    <w:rsid w:val="00DE1E60"/>
    <w:rsid w:val="00DE42BA"/>
    <w:rsid w:val="00DE54BF"/>
    <w:rsid w:val="00DE5608"/>
    <w:rsid w:val="00DE58D0"/>
    <w:rsid w:val="00DE5D65"/>
    <w:rsid w:val="00DE654F"/>
    <w:rsid w:val="00DE7279"/>
    <w:rsid w:val="00DE7A3F"/>
    <w:rsid w:val="00DF00D3"/>
    <w:rsid w:val="00DF05A0"/>
    <w:rsid w:val="00DF0B6E"/>
    <w:rsid w:val="00DF15E0"/>
    <w:rsid w:val="00DF2451"/>
    <w:rsid w:val="00DF37A0"/>
    <w:rsid w:val="00DF5DB1"/>
    <w:rsid w:val="00DF642C"/>
    <w:rsid w:val="00DF7CDF"/>
    <w:rsid w:val="00E011B9"/>
    <w:rsid w:val="00E013DF"/>
    <w:rsid w:val="00E0657E"/>
    <w:rsid w:val="00E10099"/>
    <w:rsid w:val="00E10AE8"/>
    <w:rsid w:val="00E110E7"/>
    <w:rsid w:val="00E11B20"/>
    <w:rsid w:val="00E12643"/>
    <w:rsid w:val="00E13A1E"/>
    <w:rsid w:val="00E14F5D"/>
    <w:rsid w:val="00E1572E"/>
    <w:rsid w:val="00E17FA2"/>
    <w:rsid w:val="00E22330"/>
    <w:rsid w:val="00E2403B"/>
    <w:rsid w:val="00E24C51"/>
    <w:rsid w:val="00E30B5A"/>
    <w:rsid w:val="00E30C03"/>
    <w:rsid w:val="00E3123D"/>
    <w:rsid w:val="00E31461"/>
    <w:rsid w:val="00E31D43"/>
    <w:rsid w:val="00E32608"/>
    <w:rsid w:val="00E32914"/>
    <w:rsid w:val="00E34188"/>
    <w:rsid w:val="00E34B6E"/>
    <w:rsid w:val="00E35318"/>
    <w:rsid w:val="00E353F2"/>
    <w:rsid w:val="00E35559"/>
    <w:rsid w:val="00E361C7"/>
    <w:rsid w:val="00E366A8"/>
    <w:rsid w:val="00E3723A"/>
    <w:rsid w:val="00E37860"/>
    <w:rsid w:val="00E40EDD"/>
    <w:rsid w:val="00E446F1"/>
    <w:rsid w:val="00E45B2F"/>
    <w:rsid w:val="00E46886"/>
    <w:rsid w:val="00E47AEF"/>
    <w:rsid w:val="00E5307B"/>
    <w:rsid w:val="00E53B75"/>
    <w:rsid w:val="00E54E3B"/>
    <w:rsid w:val="00E55053"/>
    <w:rsid w:val="00E567F3"/>
    <w:rsid w:val="00E57565"/>
    <w:rsid w:val="00E578EF"/>
    <w:rsid w:val="00E62C45"/>
    <w:rsid w:val="00E63838"/>
    <w:rsid w:val="00E64434"/>
    <w:rsid w:val="00E6459B"/>
    <w:rsid w:val="00E65872"/>
    <w:rsid w:val="00E67C51"/>
    <w:rsid w:val="00E72EFC"/>
    <w:rsid w:val="00E758EC"/>
    <w:rsid w:val="00E760AE"/>
    <w:rsid w:val="00E764B3"/>
    <w:rsid w:val="00E80335"/>
    <w:rsid w:val="00E8234C"/>
    <w:rsid w:val="00E824B9"/>
    <w:rsid w:val="00E82DDC"/>
    <w:rsid w:val="00E83AA9"/>
    <w:rsid w:val="00E85928"/>
    <w:rsid w:val="00E861CC"/>
    <w:rsid w:val="00E86299"/>
    <w:rsid w:val="00E865A2"/>
    <w:rsid w:val="00E877F7"/>
    <w:rsid w:val="00E87822"/>
    <w:rsid w:val="00E90395"/>
    <w:rsid w:val="00E90E49"/>
    <w:rsid w:val="00E917F9"/>
    <w:rsid w:val="00E9291C"/>
    <w:rsid w:val="00E93FFE"/>
    <w:rsid w:val="00E94F8A"/>
    <w:rsid w:val="00E95701"/>
    <w:rsid w:val="00EA03C9"/>
    <w:rsid w:val="00EA265C"/>
    <w:rsid w:val="00EA7A41"/>
    <w:rsid w:val="00EB077B"/>
    <w:rsid w:val="00EB1979"/>
    <w:rsid w:val="00EB43E3"/>
    <w:rsid w:val="00EB4EA2"/>
    <w:rsid w:val="00EB582C"/>
    <w:rsid w:val="00EB7550"/>
    <w:rsid w:val="00EB7E0B"/>
    <w:rsid w:val="00EC24D5"/>
    <w:rsid w:val="00EC27C6"/>
    <w:rsid w:val="00EC4207"/>
    <w:rsid w:val="00EC4BF1"/>
    <w:rsid w:val="00EC5653"/>
    <w:rsid w:val="00EC6D61"/>
    <w:rsid w:val="00EC71CE"/>
    <w:rsid w:val="00EC7980"/>
    <w:rsid w:val="00ED1006"/>
    <w:rsid w:val="00EE1825"/>
    <w:rsid w:val="00EE199B"/>
    <w:rsid w:val="00EE41E5"/>
    <w:rsid w:val="00EE4694"/>
    <w:rsid w:val="00EE477E"/>
    <w:rsid w:val="00EE4A8C"/>
    <w:rsid w:val="00EE53E8"/>
    <w:rsid w:val="00EE6E84"/>
    <w:rsid w:val="00EF0630"/>
    <w:rsid w:val="00EF18FE"/>
    <w:rsid w:val="00EF3462"/>
    <w:rsid w:val="00EF3931"/>
    <w:rsid w:val="00EF51DF"/>
    <w:rsid w:val="00EF5787"/>
    <w:rsid w:val="00EF5F4C"/>
    <w:rsid w:val="00EF60D0"/>
    <w:rsid w:val="00F00A8E"/>
    <w:rsid w:val="00F03995"/>
    <w:rsid w:val="00F041A4"/>
    <w:rsid w:val="00F0528D"/>
    <w:rsid w:val="00F06C67"/>
    <w:rsid w:val="00F06DFD"/>
    <w:rsid w:val="00F071D1"/>
    <w:rsid w:val="00F07533"/>
    <w:rsid w:val="00F100FA"/>
    <w:rsid w:val="00F10629"/>
    <w:rsid w:val="00F15FA5"/>
    <w:rsid w:val="00F16F90"/>
    <w:rsid w:val="00F207D8"/>
    <w:rsid w:val="00F209B7"/>
    <w:rsid w:val="00F22F80"/>
    <w:rsid w:val="00F2376F"/>
    <w:rsid w:val="00F23EB4"/>
    <w:rsid w:val="00F243D8"/>
    <w:rsid w:val="00F263CD"/>
    <w:rsid w:val="00F30828"/>
    <w:rsid w:val="00F3109D"/>
    <w:rsid w:val="00F313D6"/>
    <w:rsid w:val="00F32D39"/>
    <w:rsid w:val="00F3365F"/>
    <w:rsid w:val="00F33D80"/>
    <w:rsid w:val="00F353ED"/>
    <w:rsid w:val="00F36985"/>
    <w:rsid w:val="00F40F0C"/>
    <w:rsid w:val="00F42661"/>
    <w:rsid w:val="00F42E5F"/>
    <w:rsid w:val="00F47307"/>
    <w:rsid w:val="00F4766C"/>
    <w:rsid w:val="00F5060E"/>
    <w:rsid w:val="00F507D1"/>
    <w:rsid w:val="00F51229"/>
    <w:rsid w:val="00F519CE"/>
    <w:rsid w:val="00F51ADA"/>
    <w:rsid w:val="00F521FA"/>
    <w:rsid w:val="00F60203"/>
    <w:rsid w:val="00F607C5"/>
    <w:rsid w:val="00F60DEA"/>
    <w:rsid w:val="00F6302A"/>
    <w:rsid w:val="00F63950"/>
    <w:rsid w:val="00F63DFB"/>
    <w:rsid w:val="00F64B50"/>
    <w:rsid w:val="00F64C2B"/>
    <w:rsid w:val="00F651BE"/>
    <w:rsid w:val="00F67F53"/>
    <w:rsid w:val="00F703BE"/>
    <w:rsid w:val="00F718A6"/>
    <w:rsid w:val="00F71F69"/>
    <w:rsid w:val="00F72330"/>
    <w:rsid w:val="00F72B72"/>
    <w:rsid w:val="00F74731"/>
    <w:rsid w:val="00F74BB9"/>
    <w:rsid w:val="00F75582"/>
    <w:rsid w:val="00F76EFA"/>
    <w:rsid w:val="00F804BE"/>
    <w:rsid w:val="00F817CE"/>
    <w:rsid w:val="00F82271"/>
    <w:rsid w:val="00F8456C"/>
    <w:rsid w:val="00F85671"/>
    <w:rsid w:val="00F85972"/>
    <w:rsid w:val="00F859D8"/>
    <w:rsid w:val="00F8687B"/>
    <w:rsid w:val="00F868F5"/>
    <w:rsid w:val="00F9056A"/>
    <w:rsid w:val="00F90F8D"/>
    <w:rsid w:val="00F92782"/>
    <w:rsid w:val="00F93AA9"/>
    <w:rsid w:val="00F94891"/>
    <w:rsid w:val="00F963BE"/>
    <w:rsid w:val="00F96985"/>
    <w:rsid w:val="00F97838"/>
    <w:rsid w:val="00FA2BB3"/>
    <w:rsid w:val="00FA5485"/>
    <w:rsid w:val="00FB3560"/>
    <w:rsid w:val="00FB49D7"/>
    <w:rsid w:val="00FB4C80"/>
    <w:rsid w:val="00FB6A6A"/>
    <w:rsid w:val="00FB7A24"/>
    <w:rsid w:val="00FC1D64"/>
    <w:rsid w:val="00FC2803"/>
    <w:rsid w:val="00FC3D72"/>
    <w:rsid w:val="00FC5CF1"/>
    <w:rsid w:val="00FC7429"/>
    <w:rsid w:val="00FD07F6"/>
    <w:rsid w:val="00FD198D"/>
    <w:rsid w:val="00FD1EC8"/>
    <w:rsid w:val="00FD389C"/>
    <w:rsid w:val="00FD3F71"/>
    <w:rsid w:val="00FD47ED"/>
    <w:rsid w:val="00FD5DDF"/>
    <w:rsid w:val="00FD67F0"/>
    <w:rsid w:val="00FD6C22"/>
    <w:rsid w:val="00FD74DB"/>
    <w:rsid w:val="00FD7660"/>
    <w:rsid w:val="00FE0655"/>
    <w:rsid w:val="00FE2365"/>
    <w:rsid w:val="00FE2528"/>
    <w:rsid w:val="00FE3104"/>
    <w:rsid w:val="00FE37D7"/>
    <w:rsid w:val="00FE3B3A"/>
    <w:rsid w:val="00FE4C7B"/>
    <w:rsid w:val="00FE7336"/>
    <w:rsid w:val="00FE787C"/>
    <w:rsid w:val="00FE7FD8"/>
    <w:rsid w:val="00FF3487"/>
    <w:rsid w:val="00FF428F"/>
    <w:rsid w:val="00FF45A5"/>
    <w:rsid w:val="00FF5C91"/>
    <w:rsid w:val="00FF74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096E"/>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4009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096E"/>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character" w:styleId="PlaceholderText">
    <w:name w:val="Placeholder Text"/>
    <w:basedOn w:val="DefaultParagraphFont"/>
    <w:uiPriority w:val="99"/>
    <w:semiHidden/>
    <w:rsid w:val="00FB3560"/>
    <w:rPr>
      <w:color w:val="808080"/>
    </w:rPr>
  </w:style>
  <w:style w:type="paragraph" w:styleId="NormalWeb">
    <w:name w:val="Normal (Web)"/>
    <w:basedOn w:val="Normal"/>
    <w:rsid w:val="00D25BD1"/>
    <w:pPr>
      <w:spacing w:before="100" w:beforeAutospacing="1" w:after="100" w:afterAutospacing="1" w:line="240" w:lineRule="auto"/>
    </w:pPr>
    <w:rPr>
      <w:rFonts w:ascii="Arial" w:eastAsia="SimSun" w:hAnsi="Arial" w:cs="Arial"/>
      <w:color w:val="493118"/>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BA74B-537B-4D42-B2D5-8AA6584B87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EEEE2E-83DE-4E24-886D-5722759D9090}">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AFBEE4E-8F47-49BD-810E-A6C2C0851E25}">
  <ds:schemaRefs>
    <ds:schemaRef ds:uri="http://schemas.microsoft.com/sharepoint/v3/contenttype/forms"/>
  </ds:schemaRefs>
</ds:datastoreItem>
</file>

<file path=customXml/itemProps4.xml><?xml version="1.0" encoding="utf-8"?>
<ds:datastoreItem xmlns:ds="http://schemas.openxmlformats.org/officeDocument/2006/customXml" ds:itemID="{94363E7E-4AE0-4705-BF5D-271D8F6E3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4155</Words>
  <Characters>23686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27786</CharactersWithSpaces>
  <SharedDoc>false</SharedDoc>
  <HLinks>
    <vt:vector size="84" baseType="variant">
      <vt:variant>
        <vt:i4>1310776</vt:i4>
      </vt:variant>
      <vt:variant>
        <vt:i4>44</vt:i4>
      </vt:variant>
      <vt:variant>
        <vt:i4>0</vt:i4>
      </vt:variant>
      <vt:variant>
        <vt:i4>5</vt:i4>
      </vt:variant>
      <vt:variant>
        <vt:lpwstr/>
      </vt:variant>
      <vt:variant>
        <vt:lpwstr>_Toc23856247</vt:lpwstr>
      </vt:variant>
      <vt:variant>
        <vt:i4>1376312</vt:i4>
      </vt:variant>
      <vt:variant>
        <vt:i4>41</vt:i4>
      </vt:variant>
      <vt:variant>
        <vt:i4>0</vt:i4>
      </vt:variant>
      <vt:variant>
        <vt:i4>5</vt:i4>
      </vt:variant>
      <vt:variant>
        <vt:lpwstr/>
      </vt:variant>
      <vt:variant>
        <vt:lpwstr>_Toc23856246</vt:lpwstr>
      </vt:variant>
      <vt:variant>
        <vt:i4>1441848</vt:i4>
      </vt:variant>
      <vt:variant>
        <vt:i4>38</vt:i4>
      </vt:variant>
      <vt:variant>
        <vt:i4>0</vt:i4>
      </vt:variant>
      <vt:variant>
        <vt:i4>5</vt:i4>
      </vt:variant>
      <vt:variant>
        <vt:lpwstr/>
      </vt:variant>
      <vt:variant>
        <vt:lpwstr>_Toc23856245</vt:lpwstr>
      </vt:variant>
      <vt:variant>
        <vt:i4>1507384</vt:i4>
      </vt:variant>
      <vt:variant>
        <vt:i4>35</vt:i4>
      </vt:variant>
      <vt:variant>
        <vt:i4>0</vt:i4>
      </vt:variant>
      <vt:variant>
        <vt:i4>5</vt:i4>
      </vt:variant>
      <vt:variant>
        <vt:lpwstr/>
      </vt:variant>
      <vt:variant>
        <vt:lpwstr>_Toc23856244</vt:lpwstr>
      </vt:variant>
      <vt:variant>
        <vt:i4>1048632</vt:i4>
      </vt:variant>
      <vt:variant>
        <vt:i4>32</vt:i4>
      </vt:variant>
      <vt:variant>
        <vt:i4>0</vt:i4>
      </vt:variant>
      <vt:variant>
        <vt:i4>5</vt:i4>
      </vt:variant>
      <vt:variant>
        <vt:lpwstr/>
      </vt:variant>
      <vt:variant>
        <vt:lpwstr>_Toc23856243</vt:lpwstr>
      </vt:variant>
      <vt:variant>
        <vt:i4>1114168</vt:i4>
      </vt:variant>
      <vt:variant>
        <vt:i4>29</vt:i4>
      </vt:variant>
      <vt:variant>
        <vt:i4>0</vt:i4>
      </vt:variant>
      <vt:variant>
        <vt:i4>5</vt:i4>
      </vt:variant>
      <vt:variant>
        <vt:lpwstr/>
      </vt:variant>
      <vt:variant>
        <vt:lpwstr>_Toc23856242</vt:lpwstr>
      </vt:variant>
      <vt:variant>
        <vt:i4>1179704</vt:i4>
      </vt:variant>
      <vt:variant>
        <vt:i4>26</vt:i4>
      </vt:variant>
      <vt:variant>
        <vt:i4>0</vt:i4>
      </vt:variant>
      <vt:variant>
        <vt:i4>5</vt:i4>
      </vt:variant>
      <vt:variant>
        <vt:lpwstr/>
      </vt:variant>
      <vt:variant>
        <vt:lpwstr>_Toc23856241</vt:lpwstr>
      </vt:variant>
      <vt:variant>
        <vt:i4>1245240</vt:i4>
      </vt:variant>
      <vt:variant>
        <vt:i4>23</vt:i4>
      </vt:variant>
      <vt:variant>
        <vt:i4>0</vt:i4>
      </vt:variant>
      <vt:variant>
        <vt:i4>5</vt:i4>
      </vt:variant>
      <vt:variant>
        <vt:lpwstr/>
      </vt:variant>
      <vt:variant>
        <vt:lpwstr>_Toc23856240</vt:lpwstr>
      </vt:variant>
      <vt:variant>
        <vt:i4>1703999</vt:i4>
      </vt:variant>
      <vt:variant>
        <vt:i4>20</vt:i4>
      </vt:variant>
      <vt:variant>
        <vt:i4>0</vt:i4>
      </vt:variant>
      <vt:variant>
        <vt:i4>5</vt:i4>
      </vt:variant>
      <vt:variant>
        <vt:lpwstr/>
      </vt:variant>
      <vt:variant>
        <vt:lpwstr>_Toc23856239</vt:lpwstr>
      </vt:variant>
      <vt:variant>
        <vt:i4>1769535</vt:i4>
      </vt:variant>
      <vt:variant>
        <vt:i4>17</vt:i4>
      </vt:variant>
      <vt:variant>
        <vt:i4>0</vt:i4>
      </vt:variant>
      <vt:variant>
        <vt:i4>5</vt:i4>
      </vt:variant>
      <vt:variant>
        <vt:lpwstr/>
      </vt:variant>
      <vt:variant>
        <vt:lpwstr>_Toc23856238</vt:lpwstr>
      </vt:variant>
      <vt:variant>
        <vt:i4>1310783</vt:i4>
      </vt:variant>
      <vt:variant>
        <vt:i4>14</vt:i4>
      </vt:variant>
      <vt:variant>
        <vt:i4>0</vt:i4>
      </vt:variant>
      <vt:variant>
        <vt:i4>5</vt:i4>
      </vt:variant>
      <vt:variant>
        <vt:lpwstr/>
      </vt:variant>
      <vt:variant>
        <vt:lpwstr>_Toc23856237</vt:lpwstr>
      </vt:variant>
      <vt:variant>
        <vt:i4>1376319</vt:i4>
      </vt:variant>
      <vt:variant>
        <vt:i4>11</vt:i4>
      </vt:variant>
      <vt:variant>
        <vt:i4>0</vt:i4>
      </vt:variant>
      <vt:variant>
        <vt:i4>5</vt:i4>
      </vt:variant>
      <vt:variant>
        <vt:lpwstr/>
      </vt:variant>
      <vt:variant>
        <vt:lpwstr>_Toc23856236</vt:lpwstr>
      </vt:variant>
      <vt:variant>
        <vt:i4>1114175</vt:i4>
      </vt:variant>
      <vt:variant>
        <vt:i4>5</vt:i4>
      </vt:variant>
      <vt:variant>
        <vt:i4>0</vt:i4>
      </vt:variant>
      <vt:variant>
        <vt:i4>5</vt:i4>
      </vt:variant>
      <vt:variant>
        <vt:lpwstr/>
      </vt:variant>
      <vt:variant>
        <vt:lpwstr>_Toc23856232</vt:lpwstr>
      </vt:variant>
      <vt:variant>
        <vt:i4>1179711</vt:i4>
      </vt:variant>
      <vt:variant>
        <vt:i4>2</vt:i4>
      </vt:variant>
      <vt:variant>
        <vt:i4>0</vt:i4>
      </vt:variant>
      <vt:variant>
        <vt:i4>5</vt:i4>
      </vt:variant>
      <vt:variant>
        <vt:lpwstr/>
      </vt:variant>
      <vt:variant>
        <vt:lpwstr>_Toc23856231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2019-11-09T04:29:00Z</dcterms:created>
  <dcterms:modified xsi:type="dcterms:W3CDTF">2019-11-09T04:31:00Z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